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46B6A">
      <w:pPr>
        <w:pStyle w:val="13"/>
        <w:wordWrap/>
        <w:spacing w:before="157" w:beforeLines="50" w:line="560" w:lineRule="exact"/>
        <w:jc w:val="center"/>
        <w:rPr>
          <w:rFonts w:hint="eastAsia" w:ascii="隶书" w:hAnsi="华文中宋" w:eastAsia="隶书"/>
          <w:sz w:val="44"/>
          <w:szCs w:val="44"/>
        </w:rPr>
      </w:pPr>
    </w:p>
    <w:p w14:paraId="70CF8E1D">
      <w:pPr>
        <w:pStyle w:val="13"/>
        <w:wordWrap/>
        <w:spacing w:before="157" w:beforeLines="50" w:line="560" w:lineRule="exact"/>
        <w:jc w:val="center"/>
        <w:outlineLvl w:val="0"/>
        <w:rPr>
          <w:rFonts w:hint="eastAsia" w:ascii="方正小标宋简体" w:hAnsi="方正小标宋简体" w:eastAsia="方正小标宋简体" w:cs="方正小标宋简体"/>
          <w:sz w:val="44"/>
          <w:szCs w:val="44"/>
          <w:lang w:val="en-US" w:eastAsia="zh-CN"/>
        </w:rPr>
      </w:pPr>
      <w:bookmarkStart w:id="0" w:name="_Toc22323"/>
      <w:r>
        <w:rPr>
          <w:rFonts w:hint="eastAsia" w:ascii="方正小标宋简体" w:hAnsi="方正小标宋简体" w:eastAsia="方正小标宋简体" w:cs="方正小标宋简体"/>
          <w:sz w:val="44"/>
          <w:szCs w:val="44"/>
          <w:lang w:val="en-US" w:eastAsia="zh-CN"/>
        </w:rPr>
        <w:t>海西州国有资本投资运营（集团）有限公司</w:t>
      </w:r>
      <w:bookmarkEnd w:id="0"/>
    </w:p>
    <w:p w14:paraId="541DEE0A">
      <w:pPr>
        <w:pStyle w:val="13"/>
        <w:wordWrap/>
        <w:spacing w:before="157" w:beforeLines="50" w:line="560" w:lineRule="exact"/>
        <w:jc w:val="center"/>
        <w:rPr>
          <w:rFonts w:hint="eastAsia" w:ascii="隶书" w:hAnsi="华文中宋" w:eastAsia="隶书"/>
          <w:sz w:val="84"/>
          <w:szCs w:val="84"/>
        </w:rPr>
      </w:pPr>
    </w:p>
    <w:p w14:paraId="0400F1B9">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bookmarkStart w:id="1" w:name="_Toc23223"/>
    </w:p>
    <w:p w14:paraId="28A8B755">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p>
    <w:p w14:paraId="35D31C1C">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p>
    <w:p w14:paraId="7F7731C1">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p>
    <w:p w14:paraId="7E16D0C7">
      <w:pPr>
        <w:pStyle w:val="13"/>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竞争性</w:t>
      </w:r>
      <w:r>
        <w:rPr>
          <w:rFonts w:hint="eastAsia" w:ascii="方正小标宋简体" w:hAnsi="方正小标宋简体" w:eastAsia="方正小标宋简体" w:cs="方正小标宋简体"/>
          <w:sz w:val="84"/>
          <w:szCs w:val="84"/>
          <w:lang w:val="en-US" w:eastAsia="zh-CN"/>
        </w:rPr>
        <w:t>磋商</w:t>
      </w:r>
      <w:r>
        <w:rPr>
          <w:rFonts w:hint="eastAsia" w:ascii="方正小标宋简体" w:hAnsi="方正小标宋简体" w:eastAsia="方正小标宋简体" w:cs="方正小标宋简体"/>
          <w:sz w:val="84"/>
          <w:szCs w:val="84"/>
        </w:rPr>
        <w:t>文件</w:t>
      </w:r>
      <w:bookmarkEnd w:id="1"/>
    </w:p>
    <w:p w14:paraId="6CF1D497">
      <w:pPr>
        <w:pStyle w:val="13"/>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sz w:val="84"/>
          <w:szCs w:val="84"/>
        </w:rPr>
      </w:pPr>
    </w:p>
    <w:p w14:paraId="496AE342">
      <w:pPr>
        <w:pStyle w:val="13"/>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14:paraId="0C69243A">
      <w:pPr>
        <w:pStyle w:val="13"/>
        <w:widowControl w:val="0"/>
        <w:wordWrap/>
        <w:adjustRightInd w:val="0"/>
        <w:snapToGrid w:val="0"/>
        <w:spacing w:before="313" w:beforeLines="100" w:line="560" w:lineRule="exact"/>
        <w:textAlignment w:val="auto"/>
        <w:rPr>
          <w:rFonts w:ascii="Tahoma" w:hAnsi="Tahoma" w:cs="Tahoma"/>
          <w:sz w:val="20"/>
          <w:szCs w:val="20"/>
        </w:rPr>
      </w:pPr>
    </w:p>
    <w:p w14:paraId="2EFEC106">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rPr>
      </w:pPr>
      <w:r>
        <w:rPr>
          <w:rFonts w:hint="eastAsia" w:ascii="华文中宋" w:hAnsi="华文中宋" w:eastAsia="华文中宋" w:cs="华文中宋"/>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1293495</wp:posOffset>
                </wp:positionH>
                <wp:positionV relativeFrom="paragraph">
                  <wp:posOffset>424815</wp:posOffset>
                </wp:positionV>
                <wp:extent cx="3771900" cy="6985"/>
                <wp:effectExtent l="0" t="0" r="0" b="0"/>
                <wp:wrapNone/>
                <wp:docPr id="1" name="直线 10"/>
                <wp:cNvGraphicFramePr/>
                <a:graphic xmlns:a="http://schemas.openxmlformats.org/drawingml/2006/main">
                  <a:graphicData uri="http://schemas.microsoft.com/office/word/2010/wordprocessingShape">
                    <wps:wsp>
                      <wps:cNvCnPr/>
                      <wps:spPr>
                        <a:xfrm flipV="1">
                          <a:off x="0" y="0"/>
                          <a:ext cx="3771900" cy="69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101.85pt;margin-top:33.45pt;height:0.55pt;width:297pt;z-index:251659264;mso-width-relative:page;mso-height-relative:page;" filled="f" stroked="t" coordsize="21600,21600" o:gfxdata="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j8QW1gAAAAkBAAAPAAAAAAAAAAEAIAAAACIAAABkcnMvZG93bnJldi54bWxQSwECFAAUAAAA&#10;CACHTuJAWTvBbPABAADpAwAADgAAAAAAAAABACAAAAAlAQAAZHJzL2Uyb0RvYy54bWxQSwUGAAAA&#10;AAYABgBZAQAAhwUAAAAA&#10;">
                <v:fill on="f" focussize="0,0"/>
                <v:stroke weight="0.25pt" color="#000000" joinstyle="round"/>
                <v:imagedata o:title=""/>
                <o:lock v:ext="edit" aspectratio="f"/>
              </v:line>
            </w:pict>
          </mc:Fallback>
        </mc:AlternateContent>
      </w:r>
      <w:r>
        <w:rPr>
          <w:rFonts w:hint="eastAsia" w:ascii="华文中宋" w:hAnsi="华文中宋" w:eastAsia="华文中宋" w:cs="华文中宋"/>
          <w:b w:val="0"/>
          <w:bCs/>
          <w:sz w:val="32"/>
          <w:szCs w:val="32"/>
        </w:rPr>
        <w:t>项目名称</w:t>
      </w:r>
      <w:r>
        <w:rPr>
          <w:rFonts w:hint="eastAsia" w:ascii="华文中宋" w:hAnsi="华文中宋" w:eastAsia="华文中宋" w:cs="华文中宋"/>
          <w:b w:val="0"/>
          <w:bCs/>
          <w:sz w:val="32"/>
          <w:szCs w:val="32"/>
          <w:lang w:eastAsia="zh-CN"/>
        </w:rPr>
        <w:t>：</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none"/>
          <w:lang w:val="en-US" w:eastAsia="zh-CN"/>
        </w:rPr>
        <w:t xml:space="preserve">德令哈游泳馆锅炉维修单位选聘项目 </w:t>
      </w:r>
      <w:r>
        <w:rPr>
          <w:rFonts w:hint="eastAsia" w:ascii="华文中宋" w:hAnsi="华文中宋" w:eastAsia="华文中宋" w:cs="华文中宋"/>
          <w:b w:val="0"/>
          <w:bCs/>
          <w:sz w:val="32"/>
          <w:szCs w:val="32"/>
          <w:u w:val="none"/>
          <w:lang w:val="en-US" w:eastAsia="zh-CN"/>
        </w:rPr>
        <w:t xml:space="preserve">  </w:t>
      </w:r>
    </w:p>
    <w:p w14:paraId="0488FB0D">
      <w:pPr>
        <w:widowControl w:val="0"/>
        <w:wordWrap/>
        <w:autoSpaceDE w:val="0"/>
        <w:autoSpaceDN w:val="0"/>
        <w:adjustRightInd w:val="0"/>
        <w:snapToGrid/>
        <w:spacing w:before="157" w:beforeLines="50" w:line="560" w:lineRule="exact"/>
        <w:ind w:firstLine="0" w:firstLineChars="0"/>
        <w:jc w:val="left"/>
        <w:textAlignment w:val="auto"/>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lang w:val="en-US" w:eastAsia="zh-CN"/>
        </w:rPr>
        <w:t>项目</w:t>
      </w:r>
      <w:r>
        <w:rPr>
          <w:rFonts w:hint="eastAsia" w:ascii="华文中宋" w:hAnsi="华文中宋" w:eastAsia="华文中宋" w:cs="华文中宋"/>
          <w:b w:val="0"/>
          <w:bCs/>
          <w:sz w:val="32"/>
          <w:szCs w:val="32"/>
        </w:rPr>
        <w:t>编号：</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single"/>
          <w:lang w:val="en-US" w:eastAsia="zh-CN"/>
        </w:rPr>
        <w:t>海西国投-</w:t>
      </w:r>
      <w:r>
        <w:rPr>
          <w:rFonts w:hint="eastAsia" w:ascii="华文中宋" w:hAnsi="华文中宋" w:eastAsia="华文中宋" w:cs="华文中宋"/>
          <w:b w:val="0"/>
          <w:bCs/>
          <w:color w:val="000000"/>
          <w:kern w:val="0"/>
          <w:sz w:val="32"/>
          <w:szCs w:val="32"/>
          <w:u w:val="single"/>
          <w:lang w:val="zh-CN"/>
        </w:rPr>
        <w:t>竞</w:t>
      </w:r>
      <w:r>
        <w:rPr>
          <w:rFonts w:hint="eastAsia" w:ascii="华文中宋" w:hAnsi="华文中宋" w:eastAsia="华文中宋" w:cs="华文中宋"/>
          <w:b w:val="0"/>
          <w:bCs/>
          <w:color w:val="000000"/>
          <w:kern w:val="0"/>
          <w:sz w:val="32"/>
          <w:szCs w:val="32"/>
          <w:u w:val="single"/>
          <w:lang w:val="en-US" w:eastAsia="zh-CN"/>
        </w:rPr>
        <w:t>磋-2024-26</w:t>
      </w:r>
      <w:r>
        <w:rPr>
          <w:rFonts w:hint="eastAsia" w:ascii="华文中宋" w:hAnsi="华文中宋" w:eastAsia="华文中宋" w:cs="华文中宋"/>
          <w:b w:val="0"/>
          <w:bCs/>
          <w:sz w:val="32"/>
          <w:szCs w:val="32"/>
          <w:u w:val="single"/>
          <w:lang w:val="en-US" w:eastAsia="zh-CN"/>
        </w:rPr>
        <w:t xml:space="preserve">            </w:t>
      </w:r>
      <w:r>
        <w:rPr>
          <w:rFonts w:hint="eastAsia" w:ascii="华文中宋" w:hAnsi="华文中宋" w:eastAsia="华文中宋" w:cs="华文中宋"/>
          <w:b w:val="0"/>
          <w:bCs/>
          <w:sz w:val="32"/>
          <w:szCs w:val="32"/>
          <w:u w:val="single"/>
        </w:rPr>
        <w:t xml:space="preserve">   </w:t>
      </w:r>
    </w:p>
    <w:p w14:paraId="252E988A">
      <w:pPr>
        <w:pStyle w:val="13"/>
        <w:wordWrap/>
        <w:spacing w:before="157" w:beforeLines="50" w:line="560" w:lineRule="exact"/>
        <w:jc w:val="both"/>
        <w:outlineLvl w:val="0"/>
        <w:rPr>
          <w:rFonts w:hint="eastAsia" w:ascii="方正小标宋简体" w:hAnsi="方正小标宋简体" w:eastAsia="方正小标宋简体" w:cs="方正小标宋简体"/>
          <w:sz w:val="44"/>
          <w:szCs w:val="44"/>
          <w:lang w:val="en-US" w:eastAsia="zh-CN"/>
        </w:rPr>
      </w:pPr>
      <w:bookmarkStart w:id="2" w:name="_Toc1619"/>
      <w:r>
        <w:rPr>
          <w:rFonts w:hint="eastAsia" w:ascii="华文中宋" w:hAnsi="华文中宋" w:eastAsia="华文中宋" w:cs="华文中宋"/>
          <w:b w:val="0"/>
          <w:bCs/>
          <w:sz w:val="32"/>
          <w:szCs w:val="32"/>
          <w:lang w:val="en-US" w:eastAsia="zh-CN"/>
        </w:rPr>
        <w:t xml:space="preserve">招 标 </w:t>
      </w:r>
      <w:r>
        <w:rPr>
          <w:rFonts w:hint="eastAsia" w:ascii="华文中宋" w:hAnsi="华文中宋" w:eastAsia="华文中宋" w:cs="华文中宋"/>
          <w:b w:val="0"/>
          <w:bCs/>
          <w:sz w:val="32"/>
          <w:szCs w:val="32"/>
        </w:rPr>
        <w:t>人：</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single"/>
          <w:lang w:val="en-US" w:eastAsia="zh-CN" w:bidi="ar-SA"/>
        </w:rPr>
        <w:t>海西州国有资本投资运营（集团）有限公司</w:t>
      </w:r>
      <w:bookmarkEnd w:id="2"/>
    </w:p>
    <w:p w14:paraId="45F8F2C3">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14:paraId="3077DCC8">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08A4E234">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14:paraId="00D632C5">
      <w:pPr>
        <w:pStyle w:val="16"/>
        <w:tabs>
          <w:tab w:val="right" w:leader="dot" w:pos="8958"/>
        </w:tabs>
      </w:pPr>
      <w:r>
        <w:rPr>
          <w:sz w:val="32"/>
          <w:szCs w:val="32"/>
        </w:rPr>
        <w:fldChar w:fldCharType="begin"/>
      </w:r>
      <w:r>
        <w:rPr>
          <w:sz w:val="32"/>
          <w:szCs w:val="32"/>
        </w:rPr>
        <w:instrText xml:space="preserve">TOC \o "1-3" \h \u </w:instrText>
      </w:r>
      <w:r>
        <w:rPr>
          <w:sz w:val="32"/>
          <w:szCs w:val="32"/>
        </w:rPr>
        <w:fldChar w:fldCharType="separate"/>
      </w:r>
      <w:r>
        <w:rPr>
          <w:szCs w:val="32"/>
        </w:rPr>
        <w:fldChar w:fldCharType="begin"/>
      </w:r>
      <w:r>
        <w:rPr>
          <w:szCs w:val="32"/>
        </w:rPr>
        <w:instrText xml:space="preserve"> HYPERLINK \l _Toc22323 </w:instrText>
      </w:r>
      <w:r>
        <w:rPr>
          <w:szCs w:val="32"/>
        </w:rPr>
        <w:fldChar w:fldCharType="separate"/>
      </w:r>
      <w:r>
        <w:rPr>
          <w:rFonts w:hint="eastAsia" w:ascii="方正小标宋简体" w:hAnsi="方正小标宋简体" w:eastAsia="方正小标宋简体" w:cs="方正小标宋简体"/>
          <w:szCs w:val="44"/>
          <w:lang w:val="en-US" w:eastAsia="zh-CN"/>
        </w:rPr>
        <w:t>海西州国有资本投资运营（集团）有限公司</w:t>
      </w:r>
      <w:r>
        <w:tab/>
      </w:r>
      <w:r>
        <w:fldChar w:fldCharType="begin"/>
      </w:r>
      <w:r>
        <w:instrText xml:space="preserve"> PAGEREF _Toc22323 \h </w:instrText>
      </w:r>
      <w:r>
        <w:fldChar w:fldCharType="separate"/>
      </w:r>
      <w:r>
        <w:t>1</w:t>
      </w:r>
      <w:r>
        <w:fldChar w:fldCharType="end"/>
      </w:r>
      <w:r>
        <w:rPr>
          <w:szCs w:val="32"/>
        </w:rPr>
        <w:fldChar w:fldCharType="end"/>
      </w:r>
    </w:p>
    <w:p w14:paraId="503EC699">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_Toc23223 </w:instrText>
      </w:r>
      <w:r>
        <w:rPr>
          <w:rFonts w:ascii="Times New Roman" w:hAnsi="Times New Roman" w:eastAsia="宋体" w:cs="Times New Roman"/>
          <w:kern w:val="2"/>
          <w:szCs w:val="32"/>
          <w:lang w:val="en-US" w:eastAsia="zh-CN" w:bidi="ar-SA"/>
        </w:rPr>
        <w:fldChar w:fldCharType="separate"/>
      </w:r>
      <w:r>
        <w:rPr>
          <w:rFonts w:hint="eastAsia" w:ascii="方正小标宋简体" w:hAnsi="方正小标宋简体" w:eastAsia="方正小标宋简体" w:cs="方正小标宋简体"/>
          <w:szCs w:val="84"/>
        </w:rPr>
        <w:t>竞争性</w:t>
      </w:r>
      <w:r>
        <w:rPr>
          <w:rFonts w:hint="eastAsia" w:ascii="方正小标宋简体" w:hAnsi="方正小标宋简体" w:eastAsia="方正小标宋简体" w:cs="方正小标宋简体"/>
          <w:szCs w:val="84"/>
          <w:lang w:val="en-US" w:eastAsia="zh-CN"/>
        </w:rPr>
        <w:t>磋商</w:t>
      </w:r>
      <w:r>
        <w:rPr>
          <w:rFonts w:hint="eastAsia" w:ascii="方正小标宋简体" w:hAnsi="方正小标宋简体" w:eastAsia="方正小标宋简体" w:cs="方正小标宋简体"/>
          <w:szCs w:val="84"/>
        </w:rPr>
        <w:t>文件</w:t>
      </w:r>
      <w:r>
        <w:tab/>
      </w:r>
      <w:r>
        <w:fldChar w:fldCharType="begin"/>
      </w:r>
      <w:r>
        <w:instrText xml:space="preserve"> PAGEREF _Toc23223 \h </w:instrText>
      </w:r>
      <w:r>
        <w:fldChar w:fldCharType="separate"/>
      </w:r>
      <w:r>
        <w:t>1</w:t>
      </w:r>
      <w:r>
        <w:fldChar w:fldCharType="end"/>
      </w:r>
      <w:r>
        <w:rPr>
          <w:rFonts w:ascii="Times New Roman" w:hAnsi="Times New Roman" w:eastAsia="宋体" w:cs="Times New Roman"/>
          <w:kern w:val="2"/>
          <w:szCs w:val="32"/>
          <w:lang w:val="en-US" w:eastAsia="zh-CN" w:bidi="ar-SA"/>
        </w:rPr>
        <w:fldChar w:fldCharType="end"/>
      </w:r>
    </w:p>
    <w:p w14:paraId="2DD54783">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_Toc1619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szCs w:val="32"/>
          <w:lang w:val="en-US" w:eastAsia="zh-CN"/>
        </w:rPr>
        <w:t xml:space="preserve">招 标 </w:t>
      </w:r>
      <w:r>
        <w:rPr>
          <w:rFonts w:hint="eastAsia" w:ascii="华文中宋" w:hAnsi="华文中宋" w:eastAsia="华文中宋" w:cs="华文中宋"/>
          <w:bCs/>
          <w:szCs w:val="32"/>
        </w:rPr>
        <w:t>人：</w:t>
      </w:r>
      <w:r>
        <w:rPr>
          <w:rFonts w:hint="eastAsia" w:ascii="华文中宋" w:hAnsi="华文中宋" w:eastAsia="华文中宋" w:cs="华文中宋"/>
          <w:bCs/>
          <w:szCs w:val="32"/>
          <w:lang w:val="en-US" w:eastAsia="zh-CN"/>
        </w:rPr>
        <w:t xml:space="preserve">   </w:t>
      </w:r>
      <w:r>
        <w:rPr>
          <w:rFonts w:hint="eastAsia" w:ascii="华文中宋" w:hAnsi="华文中宋" w:eastAsia="华文中宋" w:cs="华文中宋"/>
          <w:bCs/>
          <w:kern w:val="0"/>
          <w:szCs w:val="32"/>
          <w:lang w:val="en-US" w:eastAsia="zh-CN" w:bidi="ar-SA"/>
        </w:rPr>
        <w:t>海西州国有资本投资运营（集团）有限公司</w:t>
      </w:r>
      <w:r>
        <w:tab/>
      </w:r>
      <w:r>
        <w:fldChar w:fldCharType="begin"/>
      </w:r>
      <w:r>
        <w:instrText xml:space="preserve"> PAGEREF _Toc1619 \h </w:instrText>
      </w:r>
      <w:r>
        <w:fldChar w:fldCharType="separate"/>
      </w:r>
      <w:r>
        <w:t>1</w:t>
      </w:r>
      <w:r>
        <w:fldChar w:fldCharType="end"/>
      </w:r>
      <w:r>
        <w:rPr>
          <w:rFonts w:ascii="Times New Roman" w:hAnsi="Times New Roman" w:eastAsia="宋体" w:cs="Times New Roman"/>
          <w:kern w:val="2"/>
          <w:szCs w:val="32"/>
          <w:lang w:val="en-US" w:eastAsia="zh-CN" w:bidi="ar-SA"/>
        </w:rPr>
        <w:fldChar w:fldCharType="end"/>
      </w:r>
    </w:p>
    <w:p w14:paraId="1CD177A4">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_Toc27056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第一部分 谈判须知前附表</w:t>
      </w:r>
      <w:r>
        <w:tab/>
      </w:r>
      <w:r>
        <w:fldChar w:fldCharType="begin"/>
      </w:r>
      <w:r>
        <w:instrText xml:space="preserve"> PAGEREF _Toc27056 \h </w:instrText>
      </w:r>
      <w:r>
        <w:fldChar w:fldCharType="separate"/>
      </w:r>
      <w:r>
        <w:t>4</w:t>
      </w:r>
      <w:r>
        <w:fldChar w:fldCharType="end"/>
      </w:r>
      <w:r>
        <w:rPr>
          <w:rFonts w:ascii="Times New Roman" w:hAnsi="Times New Roman" w:eastAsia="宋体" w:cs="Times New Roman"/>
          <w:kern w:val="2"/>
          <w:szCs w:val="32"/>
          <w:lang w:val="en-US" w:eastAsia="zh-CN" w:bidi="ar-SA"/>
        </w:rPr>
        <w:fldChar w:fldCharType="end"/>
      </w:r>
    </w:p>
    <w:p w14:paraId="116D7F81">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_Toc13048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第二部分  谈判须知</w:t>
      </w:r>
      <w:r>
        <w:tab/>
      </w:r>
      <w:r>
        <w:fldChar w:fldCharType="begin"/>
      </w:r>
      <w:r>
        <w:instrText xml:space="preserve"> PAGEREF _Toc13048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6758AD87">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_Toc19256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一、说明</w:t>
      </w:r>
      <w:r>
        <w:tab/>
      </w:r>
      <w:r>
        <w:fldChar w:fldCharType="begin"/>
      </w:r>
      <w:r>
        <w:instrText xml:space="preserve"> PAGEREF _Toc19256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17E172E7">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_Toc31652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1.适用范围</w:t>
      </w:r>
      <w:r>
        <w:tab/>
      </w:r>
      <w:r>
        <w:fldChar w:fldCharType="begin"/>
      </w:r>
      <w:r>
        <w:instrText xml:space="preserve"> PAGEREF _Toc31652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5643785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_Toc16012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2.招标人</w:t>
      </w:r>
      <w:r>
        <w:tab/>
      </w:r>
      <w:r>
        <w:fldChar w:fldCharType="begin"/>
      </w:r>
      <w:r>
        <w:instrText xml:space="preserve"> PAGEREF _Toc16012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6305C0CE">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_Toc31297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3.竞标人的资格要求</w:t>
      </w:r>
      <w:r>
        <w:tab/>
      </w:r>
      <w:r>
        <w:fldChar w:fldCharType="begin"/>
      </w:r>
      <w:r>
        <w:instrText xml:space="preserve"> PAGEREF _Toc31297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40E5B3C6">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_Toc30474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4.谈判费用</w:t>
      </w:r>
      <w:r>
        <w:tab/>
      </w:r>
      <w:r>
        <w:fldChar w:fldCharType="begin"/>
      </w:r>
      <w:r>
        <w:instrText xml:space="preserve"> PAGEREF _Toc30474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4A5C66AE">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_Toc31080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二、谈判文件</w:t>
      </w:r>
      <w:r>
        <w:tab/>
      </w:r>
      <w:r>
        <w:fldChar w:fldCharType="begin"/>
      </w:r>
      <w:r>
        <w:instrText xml:space="preserve"> PAGEREF _Toc31080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26FD3BB0">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_Toc11983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5.谈判文件的组成</w:t>
      </w:r>
      <w:r>
        <w:tab/>
      </w:r>
      <w:r>
        <w:fldChar w:fldCharType="begin"/>
      </w:r>
      <w:r>
        <w:instrText xml:space="preserve"> PAGEREF _Toc11983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647F1BFB">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_Toc9475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6.谈判文件的澄清</w:t>
      </w:r>
      <w:r>
        <w:rPr>
          <w:rFonts w:hint="eastAsia" w:ascii="楷体_GB2312" w:hAnsi="楷体_GB2312" w:eastAsia="楷体_GB2312" w:cs="楷体_GB2312"/>
          <w:bCs/>
          <w:kern w:val="2"/>
          <w:szCs w:val="32"/>
          <w:lang w:val="zh-CN" w:eastAsia="zh-CN" w:bidi="ar-SA"/>
        </w:rPr>
        <w:t>或者</w:t>
      </w:r>
      <w:r>
        <w:rPr>
          <w:rFonts w:hint="eastAsia" w:ascii="楷体_GB2312" w:hAnsi="楷体_GB2312" w:eastAsia="楷体_GB2312" w:cs="楷体_GB2312"/>
          <w:bCs/>
          <w:kern w:val="2"/>
          <w:szCs w:val="32"/>
          <w:lang w:val="en-US" w:eastAsia="zh-CN" w:bidi="ar-SA"/>
        </w:rPr>
        <w:t>修改</w:t>
      </w:r>
      <w:r>
        <w:tab/>
      </w:r>
      <w:r>
        <w:fldChar w:fldCharType="begin"/>
      </w:r>
      <w:r>
        <w:instrText xml:space="preserve"> PAGEREF _Toc9475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534BBCB2">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_Toc23387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7.谈判文件的询问或质疑</w:t>
      </w:r>
      <w:r>
        <w:tab/>
      </w:r>
      <w:r>
        <w:fldChar w:fldCharType="begin"/>
      </w:r>
      <w:r>
        <w:instrText xml:space="preserve"> PAGEREF _Toc23387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0CE2AE00">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_Toc6375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三、响应文件</w:t>
      </w:r>
      <w:r>
        <w:tab/>
      </w:r>
      <w:r>
        <w:fldChar w:fldCharType="begin"/>
      </w:r>
      <w:r>
        <w:instrText xml:space="preserve"> PAGEREF _Toc6375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55BDC845">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_Toc31800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8.一般要求</w:t>
      </w:r>
      <w:r>
        <w:tab/>
      </w:r>
      <w:r>
        <w:fldChar w:fldCharType="begin"/>
      </w:r>
      <w:r>
        <w:instrText xml:space="preserve"> PAGEREF _Toc31800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778AD646">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_Toc1367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9.报价要求</w:t>
      </w:r>
      <w:r>
        <w:tab/>
      </w:r>
      <w:r>
        <w:fldChar w:fldCharType="begin"/>
      </w:r>
      <w:r>
        <w:instrText xml:space="preserve"> PAGEREF _Toc1367 \h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14:paraId="66EEDF9E">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_Toc31734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10.保证金</w:t>
      </w:r>
      <w:r>
        <w:tab/>
      </w:r>
      <w:r>
        <w:fldChar w:fldCharType="begin"/>
      </w:r>
      <w:r>
        <w:instrText xml:space="preserve"> PAGEREF _Toc31734 \h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14:paraId="49DAC1D1">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_Toc8338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11.响应文件的组成</w:t>
      </w:r>
      <w:r>
        <w:tab/>
      </w:r>
      <w:r>
        <w:fldChar w:fldCharType="begin"/>
      </w:r>
      <w:r>
        <w:instrText xml:space="preserve"> PAGEREF _Toc8338 \h </w:instrText>
      </w:r>
      <w:r>
        <w:fldChar w:fldCharType="separate"/>
      </w:r>
      <w:r>
        <w:t>13</w:t>
      </w:r>
      <w:r>
        <w:fldChar w:fldCharType="end"/>
      </w:r>
      <w:r>
        <w:rPr>
          <w:rFonts w:ascii="Times New Roman" w:hAnsi="Times New Roman" w:eastAsia="宋体" w:cs="Times New Roman"/>
          <w:kern w:val="2"/>
          <w:szCs w:val="32"/>
          <w:lang w:val="en-US" w:eastAsia="zh-CN" w:bidi="ar-SA"/>
        </w:rPr>
        <w:fldChar w:fldCharType="end"/>
      </w:r>
    </w:p>
    <w:p w14:paraId="0C3B9B7E">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_Toc7682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12.响应文件有效期</w:t>
      </w:r>
      <w:r>
        <w:tab/>
      </w:r>
      <w:r>
        <w:fldChar w:fldCharType="begin"/>
      </w:r>
      <w:r>
        <w:instrText xml:space="preserve"> PAGEREF _Toc7682 \h </w:instrText>
      </w:r>
      <w:r>
        <w:fldChar w:fldCharType="separate"/>
      </w:r>
      <w:r>
        <w:t>14</w:t>
      </w:r>
      <w:r>
        <w:fldChar w:fldCharType="end"/>
      </w:r>
      <w:r>
        <w:rPr>
          <w:rFonts w:ascii="Times New Roman" w:hAnsi="Times New Roman" w:eastAsia="宋体" w:cs="Times New Roman"/>
          <w:kern w:val="2"/>
          <w:szCs w:val="32"/>
          <w:lang w:val="en-US" w:eastAsia="zh-CN" w:bidi="ar-SA"/>
        </w:rPr>
        <w:fldChar w:fldCharType="end"/>
      </w:r>
    </w:p>
    <w:p w14:paraId="24FB96BF">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_Toc5593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13.响应文件的签署及规定</w:t>
      </w:r>
      <w:r>
        <w:tab/>
      </w:r>
      <w:r>
        <w:fldChar w:fldCharType="begin"/>
      </w:r>
      <w:r>
        <w:instrText xml:space="preserve"> PAGEREF _Toc5593 \h </w:instrText>
      </w:r>
      <w:r>
        <w:fldChar w:fldCharType="separate"/>
      </w:r>
      <w:r>
        <w:t>14</w:t>
      </w:r>
      <w:r>
        <w:fldChar w:fldCharType="end"/>
      </w:r>
      <w:r>
        <w:rPr>
          <w:rFonts w:ascii="Times New Roman" w:hAnsi="Times New Roman" w:eastAsia="宋体" w:cs="Times New Roman"/>
          <w:kern w:val="2"/>
          <w:szCs w:val="32"/>
          <w:lang w:val="en-US" w:eastAsia="zh-CN" w:bidi="ar-SA"/>
        </w:rPr>
        <w:fldChar w:fldCharType="end"/>
      </w:r>
    </w:p>
    <w:p w14:paraId="59D85270">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_Toc2069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四、响应文件的递交</w:t>
      </w:r>
      <w:r>
        <w:tab/>
      </w:r>
      <w:r>
        <w:fldChar w:fldCharType="begin"/>
      </w:r>
      <w:r>
        <w:instrText xml:space="preserve"> PAGEREF _Toc2069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414F2C6D">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_Toc25994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14.响应文件的密封和标记</w:t>
      </w:r>
      <w:r>
        <w:tab/>
      </w:r>
      <w:r>
        <w:fldChar w:fldCharType="begin"/>
      </w:r>
      <w:r>
        <w:instrText xml:space="preserve"> PAGEREF _Toc25994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1C15925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_Toc11355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15.响应文件的递交与接收</w:t>
      </w:r>
      <w:r>
        <w:tab/>
      </w:r>
      <w:r>
        <w:fldChar w:fldCharType="begin"/>
      </w:r>
      <w:r>
        <w:instrText xml:space="preserve"> PAGEREF _Toc11355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3C1C0AD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_Toc1869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16.响应文件的</w:t>
      </w:r>
      <w:r>
        <w:rPr>
          <w:rFonts w:hint="eastAsia" w:ascii="楷体_GB2312" w:hAnsi="楷体_GB2312" w:eastAsia="楷体_GB2312" w:cs="楷体_GB2312"/>
          <w:bCs/>
          <w:kern w:val="2"/>
          <w:szCs w:val="32"/>
          <w:lang w:val="zh-CN" w:eastAsia="zh-CN" w:bidi="ar-SA"/>
        </w:rPr>
        <w:t>补充、修改或者撤回</w:t>
      </w:r>
      <w:r>
        <w:tab/>
      </w:r>
      <w:r>
        <w:fldChar w:fldCharType="begin"/>
      </w:r>
      <w:r>
        <w:instrText xml:space="preserve"> PAGEREF _Toc1869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0802594A">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_Toc16759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五、响应文件的评审与谈判</w:t>
      </w:r>
      <w:r>
        <w:tab/>
      </w:r>
      <w:r>
        <w:fldChar w:fldCharType="begin"/>
      </w:r>
      <w:r>
        <w:instrText xml:space="preserve"> PAGEREF _Toc16759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2961E5B6">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_Toc26210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17.谈判小组</w:t>
      </w:r>
      <w:r>
        <w:tab/>
      </w:r>
      <w:r>
        <w:fldChar w:fldCharType="begin"/>
      </w:r>
      <w:r>
        <w:instrText xml:space="preserve"> PAGEREF _Toc26210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6B9C6A90">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_Toc8215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18.响应文件审查</w:t>
      </w:r>
      <w:r>
        <w:tab/>
      </w:r>
      <w:r>
        <w:fldChar w:fldCharType="begin"/>
      </w:r>
      <w:r>
        <w:instrText xml:space="preserve"> PAGEREF _Toc8215 \h </w:instrText>
      </w:r>
      <w:r>
        <w:fldChar w:fldCharType="separate"/>
      </w:r>
      <w:r>
        <w:t>17</w:t>
      </w:r>
      <w:r>
        <w:fldChar w:fldCharType="end"/>
      </w:r>
      <w:r>
        <w:rPr>
          <w:rFonts w:ascii="Times New Roman" w:hAnsi="Times New Roman" w:eastAsia="宋体" w:cs="Times New Roman"/>
          <w:kern w:val="2"/>
          <w:szCs w:val="32"/>
          <w:lang w:val="en-US" w:eastAsia="zh-CN" w:bidi="ar-SA"/>
        </w:rPr>
        <w:fldChar w:fldCharType="end"/>
      </w:r>
    </w:p>
    <w:p w14:paraId="1D41A3BB">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_Toc20873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19.谈判程序</w:t>
      </w:r>
      <w:r>
        <w:tab/>
      </w:r>
      <w:r>
        <w:fldChar w:fldCharType="begin"/>
      </w:r>
      <w:r>
        <w:instrText xml:space="preserve"> PAGEREF _Toc20873 \h </w:instrText>
      </w:r>
      <w:r>
        <w:fldChar w:fldCharType="separate"/>
      </w:r>
      <w:r>
        <w:t>18</w:t>
      </w:r>
      <w:r>
        <w:fldChar w:fldCharType="end"/>
      </w:r>
      <w:r>
        <w:rPr>
          <w:rFonts w:ascii="Times New Roman" w:hAnsi="Times New Roman" w:eastAsia="宋体" w:cs="Times New Roman"/>
          <w:kern w:val="2"/>
          <w:szCs w:val="32"/>
          <w:lang w:val="en-US" w:eastAsia="zh-CN" w:bidi="ar-SA"/>
        </w:rPr>
        <w:fldChar w:fldCharType="end"/>
      </w:r>
    </w:p>
    <w:p w14:paraId="135441FB">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_Toc22963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20.澄清</w:t>
      </w:r>
      <w:r>
        <w:tab/>
      </w:r>
      <w:r>
        <w:fldChar w:fldCharType="begin"/>
      </w:r>
      <w:r>
        <w:instrText xml:space="preserve"> PAGEREF _Toc22963 \h </w:instrText>
      </w:r>
      <w:r>
        <w:fldChar w:fldCharType="separate"/>
      </w:r>
      <w:r>
        <w:t>19</w:t>
      </w:r>
      <w:r>
        <w:fldChar w:fldCharType="end"/>
      </w:r>
      <w:r>
        <w:rPr>
          <w:rFonts w:ascii="Times New Roman" w:hAnsi="Times New Roman" w:eastAsia="宋体" w:cs="Times New Roman"/>
          <w:kern w:val="2"/>
          <w:szCs w:val="32"/>
          <w:lang w:val="en-US" w:eastAsia="zh-CN" w:bidi="ar-SA"/>
        </w:rPr>
        <w:fldChar w:fldCharType="end"/>
      </w:r>
    </w:p>
    <w:p w14:paraId="0379F708">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_Toc806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21.退出谈判</w:t>
      </w:r>
      <w:r>
        <w:tab/>
      </w:r>
      <w:r>
        <w:fldChar w:fldCharType="begin"/>
      </w:r>
      <w:r>
        <w:instrText xml:space="preserve"> PAGEREF _Toc806 \h </w:instrText>
      </w:r>
      <w:r>
        <w:fldChar w:fldCharType="separate"/>
      </w:r>
      <w:r>
        <w:t>20</w:t>
      </w:r>
      <w:r>
        <w:fldChar w:fldCharType="end"/>
      </w:r>
      <w:r>
        <w:rPr>
          <w:rFonts w:ascii="Times New Roman" w:hAnsi="Times New Roman" w:eastAsia="宋体" w:cs="Times New Roman"/>
          <w:kern w:val="2"/>
          <w:szCs w:val="32"/>
          <w:lang w:val="en-US" w:eastAsia="zh-CN" w:bidi="ar-SA"/>
        </w:rPr>
        <w:fldChar w:fldCharType="end"/>
      </w:r>
    </w:p>
    <w:p w14:paraId="0E2D4902">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_Toc15014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22.最后报价</w:t>
      </w:r>
      <w:r>
        <w:tab/>
      </w:r>
      <w:r>
        <w:fldChar w:fldCharType="begin"/>
      </w:r>
      <w:r>
        <w:instrText xml:space="preserve"> PAGEREF _Toc15014 \h </w:instrText>
      </w:r>
      <w:r>
        <w:fldChar w:fldCharType="separate"/>
      </w:r>
      <w:r>
        <w:t>20</w:t>
      </w:r>
      <w:r>
        <w:fldChar w:fldCharType="end"/>
      </w:r>
      <w:r>
        <w:rPr>
          <w:rFonts w:ascii="Times New Roman" w:hAnsi="Times New Roman" w:eastAsia="宋体" w:cs="Times New Roman"/>
          <w:kern w:val="2"/>
          <w:szCs w:val="32"/>
          <w:lang w:val="en-US" w:eastAsia="zh-CN" w:bidi="ar-SA"/>
        </w:rPr>
        <w:fldChar w:fldCharType="end"/>
      </w:r>
    </w:p>
    <w:p w14:paraId="3CC2530A">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_Toc19343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23.确定成交竞标人</w:t>
      </w:r>
      <w:r>
        <w:tab/>
      </w:r>
      <w:r>
        <w:fldChar w:fldCharType="begin"/>
      </w:r>
      <w:r>
        <w:instrText xml:space="preserve"> PAGEREF _Toc19343 \h </w:instrText>
      </w:r>
      <w:r>
        <w:fldChar w:fldCharType="separate"/>
      </w:r>
      <w:r>
        <w:t>21</w:t>
      </w:r>
      <w:r>
        <w:fldChar w:fldCharType="end"/>
      </w:r>
      <w:r>
        <w:rPr>
          <w:rFonts w:ascii="Times New Roman" w:hAnsi="Times New Roman" w:eastAsia="宋体" w:cs="Times New Roman"/>
          <w:kern w:val="2"/>
          <w:szCs w:val="32"/>
          <w:lang w:val="en-US" w:eastAsia="zh-CN" w:bidi="ar-SA"/>
        </w:rPr>
        <w:fldChar w:fldCharType="end"/>
      </w:r>
    </w:p>
    <w:p w14:paraId="7854E9B5">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_Toc14796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24.重新评审</w:t>
      </w:r>
      <w:r>
        <w:tab/>
      </w:r>
      <w:r>
        <w:fldChar w:fldCharType="begin"/>
      </w:r>
      <w:r>
        <w:instrText xml:space="preserve"> PAGEREF _Toc14796 \h </w:instrText>
      </w:r>
      <w:r>
        <w:fldChar w:fldCharType="separate"/>
      </w:r>
      <w:r>
        <w:t>21</w:t>
      </w:r>
      <w:r>
        <w:fldChar w:fldCharType="end"/>
      </w:r>
      <w:r>
        <w:rPr>
          <w:rFonts w:ascii="Times New Roman" w:hAnsi="Times New Roman" w:eastAsia="宋体" w:cs="Times New Roman"/>
          <w:kern w:val="2"/>
          <w:szCs w:val="32"/>
          <w:lang w:val="en-US" w:eastAsia="zh-CN" w:bidi="ar-SA"/>
        </w:rPr>
        <w:fldChar w:fldCharType="end"/>
      </w:r>
    </w:p>
    <w:p w14:paraId="37EA73E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_Toc30364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25.谈判终止</w:t>
      </w:r>
      <w:r>
        <w:tab/>
      </w:r>
      <w:r>
        <w:fldChar w:fldCharType="begin"/>
      </w:r>
      <w:r>
        <w:instrText xml:space="preserve"> PAGEREF _Toc30364 \h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14:paraId="54B89FA1">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_Toc10819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26.串通情形认定及处理</w:t>
      </w:r>
      <w:r>
        <w:tab/>
      </w:r>
      <w:r>
        <w:fldChar w:fldCharType="begin"/>
      </w:r>
      <w:r>
        <w:instrText xml:space="preserve"> PAGEREF _Toc10819 \h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14:paraId="40F32244">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_Toc3833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六、成交结果信息公布与授予合同</w:t>
      </w:r>
      <w:r>
        <w:tab/>
      </w:r>
      <w:r>
        <w:fldChar w:fldCharType="begin"/>
      </w:r>
      <w:r>
        <w:instrText xml:space="preserve"> PAGEREF _Toc3833 \h </w:instrText>
      </w:r>
      <w:r>
        <w:fldChar w:fldCharType="separate"/>
      </w:r>
      <w:r>
        <w:t>23</w:t>
      </w:r>
      <w:r>
        <w:fldChar w:fldCharType="end"/>
      </w:r>
      <w:r>
        <w:rPr>
          <w:rFonts w:ascii="Times New Roman" w:hAnsi="Times New Roman" w:eastAsia="宋体" w:cs="Times New Roman"/>
          <w:kern w:val="2"/>
          <w:szCs w:val="32"/>
          <w:lang w:val="en-US" w:eastAsia="zh-CN" w:bidi="ar-SA"/>
        </w:rPr>
        <w:fldChar w:fldCharType="end"/>
      </w:r>
    </w:p>
    <w:p w14:paraId="0C98A5AD">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_Toc26629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27.成交信息的公布与通知</w:t>
      </w:r>
      <w:r>
        <w:tab/>
      </w:r>
      <w:r>
        <w:fldChar w:fldCharType="begin"/>
      </w:r>
      <w:r>
        <w:instrText xml:space="preserve"> PAGEREF _Toc26629 \h </w:instrText>
      </w:r>
      <w:r>
        <w:fldChar w:fldCharType="separate"/>
      </w:r>
      <w:r>
        <w:t>23</w:t>
      </w:r>
      <w:r>
        <w:fldChar w:fldCharType="end"/>
      </w:r>
      <w:r>
        <w:rPr>
          <w:rFonts w:ascii="Times New Roman" w:hAnsi="Times New Roman" w:eastAsia="宋体" w:cs="Times New Roman"/>
          <w:kern w:val="2"/>
          <w:szCs w:val="32"/>
          <w:lang w:val="en-US" w:eastAsia="zh-CN" w:bidi="ar-SA"/>
        </w:rPr>
        <w:fldChar w:fldCharType="end"/>
      </w:r>
    </w:p>
    <w:p w14:paraId="066000F3">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_Toc29897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28.授予合同</w:t>
      </w:r>
      <w:r>
        <w:tab/>
      </w:r>
      <w:r>
        <w:fldChar w:fldCharType="begin"/>
      </w:r>
      <w:r>
        <w:instrText xml:space="preserve"> PAGEREF _Toc29897 \h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14:paraId="65F108E3">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_Toc15983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29.履约验收</w:t>
      </w:r>
      <w:r>
        <w:tab/>
      </w:r>
      <w:r>
        <w:fldChar w:fldCharType="begin"/>
      </w:r>
      <w:r>
        <w:instrText xml:space="preserve"> PAGEREF _Toc15983 \h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14:paraId="15870F83">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_Toc10906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七、询问与质疑</w:t>
      </w:r>
      <w:r>
        <w:tab/>
      </w:r>
      <w:r>
        <w:fldChar w:fldCharType="begin"/>
      </w:r>
      <w:r>
        <w:instrText xml:space="preserve"> PAGEREF _Toc10906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4131F8B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_Toc32759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30.对谈判过程、结果的询问及质疑</w:t>
      </w:r>
      <w:r>
        <w:tab/>
      </w:r>
      <w:r>
        <w:fldChar w:fldCharType="begin"/>
      </w:r>
      <w:r>
        <w:instrText xml:space="preserve"> PAGEREF _Toc32759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01C0DF93">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_Toc4791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 xml:space="preserve">八、 </w:t>
      </w:r>
      <w:r>
        <w:rPr>
          <w:rFonts w:hint="eastAsia" w:ascii="黑体" w:hAnsi="黑体" w:eastAsia="黑体" w:cs="黑体"/>
          <w:bCs w:val="0"/>
          <w:kern w:val="2"/>
          <w:szCs w:val="32"/>
          <w:highlight w:val="none"/>
          <w:lang w:val="en-US" w:eastAsia="zh-CN" w:bidi="ar-SA"/>
        </w:rPr>
        <w:t>其他规定</w:t>
      </w:r>
      <w:r>
        <w:tab/>
      </w:r>
      <w:r>
        <w:fldChar w:fldCharType="begin"/>
      </w:r>
      <w:r>
        <w:instrText xml:space="preserve"> PAGEREF _Toc4791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1DBD31E1">
      <w:pPr>
        <w:pStyle w:val="17"/>
        <w:tabs>
          <w:tab w:val="right" w:leader="dot" w:pos="8958"/>
        </w:tabs>
        <w:ind w:firstLine="420" w:firstLineChars="200"/>
      </w:pPr>
      <w:r>
        <w:rPr>
          <w:rFonts w:hint="eastAsia" w:ascii="楷体_GB2312" w:hAnsi="楷体_GB2312" w:eastAsia="楷体_GB2312" w:cs="楷体_GB2312"/>
          <w:bCs/>
          <w:kern w:val="2"/>
          <w:sz w:val="21"/>
          <w:szCs w:val="32"/>
          <w:lang w:val="en-US" w:eastAsia="zh-CN" w:bidi="ar-SA"/>
        </w:rPr>
        <w:t>31.</w:t>
      </w: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_Toc16542 </w:instrText>
      </w:r>
      <w:r>
        <w:rPr>
          <w:rFonts w:ascii="Times New Roman" w:hAnsi="Times New Roman" w:eastAsia="宋体" w:cs="Times New Roman"/>
          <w:kern w:val="2"/>
          <w:szCs w:val="32"/>
          <w:lang w:val="en-US" w:eastAsia="zh-CN" w:bidi="ar-SA"/>
        </w:rPr>
        <w:fldChar w:fldCharType="separate"/>
      </w:r>
      <w:r>
        <w:rPr>
          <w:rFonts w:hint="eastAsia"/>
          <w:highlight w:val="white"/>
        </w:rPr>
        <w:t>评标办法</w:t>
      </w:r>
      <w:r>
        <w:tab/>
      </w:r>
      <w:r>
        <w:fldChar w:fldCharType="begin"/>
      </w:r>
      <w:r>
        <w:instrText xml:space="preserve"> PAGEREF _Toc16542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0E3BD6CC">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_Toc26722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32.其他规定</w:t>
      </w:r>
      <w:r>
        <w:tab/>
      </w:r>
      <w:r>
        <w:fldChar w:fldCharType="begin"/>
      </w:r>
      <w:r>
        <w:instrText xml:space="preserve"> PAGEREF _Toc26722 \h </w:instrText>
      </w:r>
      <w:r>
        <w:fldChar w:fldCharType="separate"/>
      </w:r>
      <w:r>
        <w:t>27</w:t>
      </w:r>
      <w:r>
        <w:fldChar w:fldCharType="end"/>
      </w:r>
      <w:r>
        <w:rPr>
          <w:rFonts w:ascii="Times New Roman" w:hAnsi="Times New Roman" w:eastAsia="宋体" w:cs="Times New Roman"/>
          <w:kern w:val="2"/>
          <w:szCs w:val="32"/>
          <w:lang w:val="en-US" w:eastAsia="zh-CN" w:bidi="ar-SA"/>
        </w:rPr>
        <w:fldChar w:fldCharType="end"/>
      </w:r>
    </w:p>
    <w:p w14:paraId="489C917E">
      <w:pPr>
        <w:pStyle w:val="16"/>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_Toc28896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eastAsia="zh-CN"/>
        </w:rPr>
        <w:t>第</w:t>
      </w:r>
      <w:r>
        <w:rPr>
          <w:rFonts w:hint="eastAsia" w:ascii="华文中宋" w:hAnsi="华文中宋" w:eastAsia="华文中宋" w:cs="华文中宋"/>
          <w:bCs w:val="0"/>
          <w:szCs w:val="44"/>
          <w:lang w:val="en-US" w:eastAsia="zh-CN"/>
        </w:rPr>
        <w:t>三</w:t>
      </w:r>
      <w:r>
        <w:rPr>
          <w:rFonts w:hint="eastAsia" w:ascii="华文中宋" w:hAnsi="华文中宋" w:eastAsia="华文中宋" w:cs="华文中宋"/>
          <w:bCs w:val="0"/>
          <w:szCs w:val="44"/>
          <w:lang w:eastAsia="zh-CN"/>
        </w:rPr>
        <w:t>部分</w:t>
      </w:r>
      <w:r>
        <w:rPr>
          <w:rFonts w:hint="eastAsia" w:ascii="华文中宋" w:hAnsi="华文中宋" w:eastAsia="华文中宋" w:cs="华文中宋"/>
          <w:bCs w:val="0"/>
          <w:szCs w:val="44"/>
          <w:lang w:val="en-US" w:eastAsia="zh-CN"/>
        </w:rPr>
        <w:t xml:space="preserve"> </w:t>
      </w:r>
      <w:r>
        <w:rPr>
          <w:rFonts w:hint="eastAsia" w:ascii="华文中宋" w:hAnsi="华文中宋" w:eastAsia="华文中宋" w:cs="华文中宋"/>
          <w:bCs w:val="0"/>
          <w:szCs w:val="44"/>
          <w:lang w:eastAsia="zh-CN"/>
        </w:rPr>
        <w:t>谈判响应文件格式</w:t>
      </w:r>
      <w:r>
        <w:tab/>
      </w:r>
      <w:r>
        <w:fldChar w:fldCharType="begin"/>
      </w:r>
      <w:r>
        <w:instrText xml:space="preserve"> PAGEREF _Toc28896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0B149B32">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_Toc23414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九、谈判响应文件的组成</w:t>
      </w:r>
      <w:r>
        <w:tab/>
      </w:r>
      <w:r>
        <w:fldChar w:fldCharType="begin"/>
      </w:r>
      <w:r>
        <w:instrText xml:space="preserve"> PAGEREF _Toc23414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74AD49F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_Toc17712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（一）资格审查部分</w:t>
      </w:r>
      <w:r>
        <w:tab/>
      </w:r>
      <w:r>
        <w:fldChar w:fldCharType="begin"/>
      </w:r>
      <w:r>
        <w:instrText xml:space="preserve"> PAGEREF _Toc17712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27B17580">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_Toc10882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（二）有效性、完整性、响应程度审查部分</w:t>
      </w:r>
      <w:r>
        <w:tab/>
      </w:r>
      <w:r>
        <w:fldChar w:fldCharType="begin"/>
      </w:r>
      <w:r>
        <w:instrText xml:space="preserve"> PAGEREF _Toc10882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45B3765A">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_Toc30270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十、谈判响应文件</w:t>
      </w:r>
      <w:r>
        <w:tab/>
      </w:r>
      <w:r>
        <w:fldChar w:fldCharType="begin"/>
      </w:r>
      <w:r>
        <w:instrText xml:space="preserve"> PAGEREF _Toc30270 \h </w:instrText>
      </w:r>
      <w:r>
        <w:fldChar w:fldCharType="separate"/>
      </w:r>
      <w:r>
        <w:t>29</w:t>
      </w:r>
      <w:r>
        <w:fldChar w:fldCharType="end"/>
      </w:r>
      <w:r>
        <w:rPr>
          <w:rFonts w:ascii="Times New Roman" w:hAnsi="Times New Roman" w:eastAsia="宋体" w:cs="Times New Roman"/>
          <w:kern w:val="2"/>
          <w:szCs w:val="32"/>
          <w:lang w:val="en-US" w:eastAsia="zh-CN" w:bidi="ar-SA"/>
        </w:rPr>
        <w:fldChar w:fldCharType="end"/>
      </w:r>
    </w:p>
    <w:p w14:paraId="3329816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_Toc13921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附件1：响应函</w:t>
      </w:r>
      <w:r>
        <w:tab/>
      </w:r>
      <w:r>
        <w:fldChar w:fldCharType="begin"/>
      </w:r>
      <w:r>
        <w:instrText xml:space="preserve"> PAGEREF _Toc13921 \h </w:instrText>
      </w:r>
      <w:r>
        <w:fldChar w:fldCharType="separate"/>
      </w:r>
      <w:r>
        <w:t>30</w:t>
      </w:r>
      <w:r>
        <w:fldChar w:fldCharType="end"/>
      </w:r>
      <w:r>
        <w:rPr>
          <w:rFonts w:ascii="Times New Roman" w:hAnsi="Times New Roman" w:eastAsia="宋体" w:cs="Times New Roman"/>
          <w:kern w:val="2"/>
          <w:szCs w:val="32"/>
          <w:lang w:val="en-US" w:eastAsia="zh-CN" w:bidi="ar-SA"/>
        </w:rPr>
        <w:fldChar w:fldCharType="end"/>
      </w:r>
    </w:p>
    <w:p w14:paraId="79F44B79">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_Toc9169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附件2：法定代表人证明书</w:t>
      </w:r>
      <w:r>
        <w:tab/>
      </w:r>
      <w:r>
        <w:fldChar w:fldCharType="begin"/>
      </w:r>
      <w:r>
        <w:instrText xml:space="preserve"> PAGEREF _Toc9169 \h </w:instrText>
      </w:r>
      <w:r>
        <w:fldChar w:fldCharType="separate"/>
      </w:r>
      <w:r>
        <w:t>31</w:t>
      </w:r>
      <w:r>
        <w:fldChar w:fldCharType="end"/>
      </w:r>
      <w:r>
        <w:rPr>
          <w:rFonts w:ascii="Times New Roman" w:hAnsi="Times New Roman" w:eastAsia="宋体" w:cs="Times New Roman"/>
          <w:kern w:val="2"/>
          <w:szCs w:val="32"/>
          <w:lang w:val="en-US" w:eastAsia="zh-CN" w:bidi="ar-SA"/>
        </w:rPr>
        <w:fldChar w:fldCharType="end"/>
      </w:r>
    </w:p>
    <w:p w14:paraId="28942092">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_Toc32413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附件3：法定代表人授权书</w:t>
      </w:r>
      <w:r>
        <w:tab/>
      </w:r>
      <w:r>
        <w:fldChar w:fldCharType="begin"/>
      </w:r>
      <w:r>
        <w:instrText xml:space="preserve"> PAGEREF _Toc32413 \h </w:instrText>
      </w:r>
      <w:r>
        <w:fldChar w:fldCharType="separate"/>
      </w:r>
      <w:r>
        <w:t>32</w:t>
      </w:r>
      <w:r>
        <w:fldChar w:fldCharType="end"/>
      </w:r>
      <w:r>
        <w:rPr>
          <w:rFonts w:ascii="Times New Roman" w:hAnsi="Times New Roman" w:eastAsia="宋体" w:cs="Times New Roman"/>
          <w:kern w:val="2"/>
          <w:szCs w:val="32"/>
          <w:lang w:val="en-US" w:eastAsia="zh-CN" w:bidi="ar-SA"/>
        </w:rPr>
        <w:fldChar w:fldCharType="end"/>
      </w:r>
    </w:p>
    <w:p w14:paraId="77A0C293">
      <w:pPr>
        <w:pStyle w:val="12"/>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_Toc674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附件4：竞标人承诺函</w:t>
      </w:r>
      <w:r>
        <w:tab/>
      </w:r>
      <w:r>
        <w:fldChar w:fldCharType="begin"/>
      </w:r>
      <w:r>
        <w:instrText xml:space="preserve"> PAGEREF _Toc674 \h </w:instrText>
      </w:r>
      <w:r>
        <w:fldChar w:fldCharType="separate"/>
      </w:r>
      <w:r>
        <w:t>33</w:t>
      </w:r>
      <w:r>
        <w:fldChar w:fldCharType="end"/>
      </w:r>
      <w:r>
        <w:rPr>
          <w:rFonts w:ascii="Times New Roman" w:hAnsi="Times New Roman" w:eastAsia="宋体" w:cs="Times New Roman"/>
          <w:kern w:val="2"/>
          <w:szCs w:val="32"/>
          <w:lang w:val="en-US" w:eastAsia="zh-CN" w:bidi="ar-SA"/>
        </w:rPr>
        <w:fldChar w:fldCharType="end"/>
      </w:r>
    </w:p>
    <w:p w14:paraId="03470838">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_Toc28526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附件5：竞标人诚信承诺书</w:t>
      </w:r>
      <w:r>
        <w:tab/>
      </w:r>
      <w:r>
        <w:fldChar w:fldCharType="begin"/>
      </w:r>
      <w:r>
        <w:instrText xml:space="preserve"> PAGEREF _Toc28526 \h </w:instrText>
      </w:r>
      <w:r>
        <w:fldChar w:fldCharType="separate"/>
      </w:r>
      <w:r>
        <w:t>35</w:t>
      </w:r>
      <w:r>
        <w:fldChar w:fldCharType="end"/>
      </w:r>
      <w:r>
        <w:rPr>
          <w:rFonts w:ascii="Times New Roman" w:hAnsi="Times New Roman" w:eastAsia="宋体" w:cs="Times New Roman"/>
          <w:kern w:val="2"/>
          <w:szCs w:val="32"/>
          <w:lang w:val="en-US" w:eastAsia="zh-CN" w:bidi="ar-SA"/>
        </w:rPr>
        <w:fldChar w:fldCharType="end"/>
      </w:r>
    </w:p>
    <w:p w14:paraId="367A5C3A">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_Toc29869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附件6：竞标人资格证明文件</w:t>
      </w:r>
      <w:r>
        <w:tab/>
      </w:r>
      <w:r>
        <w:fldChar w:fldCharType="begin"/>
      </w:r>
      <w:r>
        <w:instrText xml:space="preserve"> PAGEREF _Toc29869 \h </w:instrText>
      </w:r>
      <w:r>
        <w:fldChar w:fldCharType="separate"/>
      </w:r>
      <w:r>
        <w:t>37</w:t>
      </w:r>
      <w:r>
        <w:fldChar w:fldCharType="end"/>
      </w:r>
      <w:r>
        <w:rPr>
          <w:rFonts w:ascii="Times New Roman" w:hAnsi="Times New Roman" w:eastAsia="宋体" w:cs="Times New Roman"/>
          <w:kern w:val="2"/>
          <w:szCs w:val="32"/>
          <w:lang w:val="en-US" w:eastAsia="zh-CN" w:bidi="ar-SA"/>
        </w:rPr>
        <w:fldChar w:fldCharType="end"/>
      </w:r>
    </w:p>
    <w:p w14:paraId="57107CF3">
      <w:pPr>
        <w:pStyle w:val="12"/>
        <w:tabs>
          <w:tab w:val="right" w:leader="dot" w:pos="8958"/>
        </w:tabs>
        <w:ind w:left="0" w:leftChars="0" w:firstLine="840" w:firstLineChars="400"/>
        <w:rPr>
          <w:rFonts w:hint="default"/>
          <w:lang w:val="en-US"/>
        </w:rPr>
      </w:pPr>
      <w:r>
        <w:rPr>
          <w:rFonts w:hint="eastAsia" w:ascii="楷体_GB2312" w:hAnsi="楷体_GB2312" w:eastAsia="楷体_GB2312" w:cs="楷体_GB2312"/>
          <w:kern w:val="2"/>
          <w:sz w:val="21"/>
          <w:szCs w:val="32"/>
          <w:lang w:val="en-US" w:eastAsia="zh-CN" w:bidi="ar-SA"/>
        </w:rPr>
        <w:t>附件7：财务审计报告</w:t>
      </w: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_Toc3065 </w:instrText>
      </w:r>
      <w:r>
        <w:rPr>
          <w:rFonts w:ascii="Times New Roman" w:hAnsi="Times New Roman" w:eastAsia="宋体" w:cs="Times New Roman"/>
          <w:kern w:val="2"/>
          <w:szCs w:val="32"/>
          <w:lang w:val="en-US" w:eastAsia="zh-CN" w:bidi="ar-SA"/>
        </w:rPr>
        <w:fldChar w:fldCharType="separate"/>
      </w:r>
      <w:r>
        <w:tab/>
      </w:r>
      <w:r>
        <w:rPr>
          <w:rFonts w:hint="eastAsia"/>
          <w:lang w:val="en-US" w:eastAsia="zh-CN"/>
        </w:rPr>
        <w:t>3</w:t>
      </w:r>
      <w:r>
        <w:rPr>
          <w:rFonts w:ascii="Times New Roman" w:hAnsi="Times New Roman" w:eastAsia="宋体" w:cs="Times New Roman"/>
          <w:kern w:val="2"/>
          <w:szCs w:val="32"/>
          <w:lang w:val="en-US" w:eastAsia="zh-CN" w:bidi="ar-SA"/>
        </w:rPr>
        <w:fldChar w:fldCharType="end"/>
      </w:r>
      <w:r>
        <w:rPr>
          <w:rFonts w:hint="eastAsia" w:cs="Times New Roman"/>
          <w:kern w:val="2"/>
          <w:szCs w:val="32"/>
          <w:lang w:val="en-US" w:eastAsia="zh-CN" w:bidi="ar-SA"/>
        </w:rPr>
        <w:t>8</w:t>
      </w:r>
    </w:p>
    <w:p w14:paraId="20B63F85">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_Toc27568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附件8：无重大违法记录声明</w:t>
      </w:r>
      <w:r>
        <w:tab/>
      </w:r>
      <w:r>
        <w:fldChar w:fldCharType="begin"/>
      </w:r>
      <w:r>
        <w:instrText xml:space="preserve"> PAGEREF _Toc27568 \h </w:instrText>
      </w:r>
      <w:r>
        <w:fldChar w:fldCharType="separate"/>
      </w:r>
      <w:r>
        <w:t>39</w:t>
      </w:r>
      <w:r>
        <w:fldChar w:fldCharType="end"/>
      </w:r>
      <w:r>
        <w:rPr>
          <w:rFonts w:ascii="Times New Roman" w:hAnsi="Times New Roman" w:eastAsia="宋体" w:cs="Times New Roman"/>
          <w:kern w:val="2"/>
          <w:szCs w:val="32"/>
          <w:lang w:val="en-US" w:eastAsia="zh-CN" w:bidi="ar-SA"/>
        </w:rPr>
        <w:fldChar w:fldCharType="end"/>
      </w:r>
    </w:p>
    <w:p w14:paraId="75D791FA">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_Toc19367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附件9：谈判首次报价表</w:t>
      </w:r>
      <w:r>
        <w:tab/>
      </w:r>
      <w:r>
        <w:fldChar w:fldCharType="begin"/>
      </w:r>
      <w:r>
        <w:instrText xml:space="preserve"> PAGEREF _Toc19367 \h </w:instrText>
      </w:r>
      <w:r>
        <w:fldChar w:fldCharType="separate"/>
      </w:r>
      <w:r>
        <w:t>40</w:t>
      </w:r>
      <w:r>
        <w:fldChar w:fldCharType="end"/>
      </w:r>
      <w:r>
        <w:rPr>
          <w:rFonts w:ascii="Times New Roman" w:hAnsi="Times New Roman" w:eastAsia="宋体" w:cs="Times New Roman"/>
          <w:kern w:val="2"/>
          <w:szCs w:val="32"/>
          <w:lang w:val="en-US" w:eastAsia="zh-CN" w:bidi="ar-SA"/>
        </w:rPr>
        <w:fldChar w:fldCharType="end"/>
      </w:r>
    </w:p>
    <w:p w14:paraId="33F923C3">
      <w:pPr>
        <w:pStyle w:val="17"/>
        <w:tabs>
          <w:tab w:val="right" w:leader="dot" w:pos="8958"/>
        </w:tabs>
        <w:ind w:firstLine="420" w:firstLineChars="200"/>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_Toc15545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附件10：最后报价表</w:t>
      </w:r>
      <w:r>
        <w:tab/>
      </w:r>
      <w:r>
        <w:fldChar w:fldCharType="begin"/>
      </w:r>
      <w:r>
        <w:instrText xml:space="preserve"> PAGEREF _Toc15545 \h </w:instrText>
      </w:r>
      <w:r>
        <w:fldChar w:fldCharType="separate"/>
      </w:r>
      <w:r>
        <w:t>41</w:t>
      </w:r>
      <w:r>
        <w:fldChar w:fldCharType="end"/>
      </w:r>
      <w:r>
        <w:rPr>
          <w:rFonts w:ascii="Times New Roman" w:hAnsi="Times New Roman" w:eastAsia="宋体" w:cs="Times New Roman"/>
          <w:kern w:val="2"/>
          <w:szCs w:val="32"/>
          <w:lang w:val="en-US" w:eastAsia="zh-CN" w:bidi="ar-SA"/>
        </w:rPr>
        <w:fldChar w:fldCharType="end"/>
      </w:r>
    </w:p>
    <w:p w14:paraId="2BF6BFFC">
      <w:pPr>
        <w:rPr>
          <w:rFonts w:ascii="Times New Roman" w:hAnsi="Times New Roman" w:eastAsia="宋体" w:cs="Times New Roman"/>
          <w:kern w:val="2"/>
          <w:szCs w:val="32"/>
          <w:lang w:val="en-US" w:eastAsia="zh-CN" w:bidi="ar-SA"/>
        </w:rPr>
      </w:pPr>
    </w:p>
    <w:p w14:paraId="2B964687">
      <w:pPr>
        <w:pStyle w:val="28"/>
        <w:rPr>
          <w:rFonts w:ascii="Times New Roman" w:hAnsi="Times New Roman" w:eastAsia="宋体" w:cs="Times New Roman"/>
          <w:kern w:val="2"/>
          <w:szCs w:val="32"/>
          <w:lang w:val="en-US" w:eastAsia="zh-CN" w:bidi="ar-SA"/>
        </w:rPr>
      </w:pPr>
    </w:p>
    <w:p w14:paraId="3ED8EB8B">
      <w:pPr>
        <w:pStyle w:val="28"/>
        <w:rPr>
          <w:rFonts w:ascii="Times New Roman" w:hAnsi="Times New Roman" w:eastAsia="宋体" w:cs="Times New Roman"/>
          <w:kern w:val="2"/>
          <w:szCs w:val="32"/>
          <w:lang w:val="en-US" w:eastAsia="zh-CN" w:bidi="ar-SA"/>
        </w:rPr>
      </w:pPr>
    </w:p>
    <w:p w14:paraId="0028C96A">
      <w:pPr>
        <w:pStyle w:val="28"/>
        <w:rPr>
          <w:rFonts w:ascii="Times New Roman" w:hAnsi="Times New Roman" w:eastAsia="宋体" w:cs="Times New Roman"/>
          <w:kern w:val="2"/>
          <w:szCs w:val="32"/>
          <w:lang w:val="en-US" w:eastAsia="zh-CN" w:bidi="ar-SA"/>
        </w:rPr>
      </w:pPr>
    </w:p>
    <w:p w14:paraId="1BDBA19F">
      <w:pPr>
        <w:pStyle w:val="28"/>
        <w:rPr>
          <w:rFonts w:ascii="Times New Roman" w:hAnsi="Times New Roman" w:eastAsia="宋体" w:cs="Times New Roman"/>
          <w:kern w:val="2"/>
          <w:szCs w:val="32"/>
          <w:lang w:val="en-US" w:eastAsia="zh-CN" w:bidi="ar-SA"/>
        </w:rPr>
      </w:pPr>
    </w:p>
    <w:p w14:paraId="1187491B">
      <w:pPr>
        <w:pStyle w:val="28"/>
        <w:rPr>
          <w:rFonts w:ascii="Times New Roman" w:hAnsi="Times New Roman" w:eastAsia="宋体" w:cs="Times New Roman"/>
          <w:kern w:val="2"/>
          <w:szCs w:val="32"/>
          <w:lang w:val="en-US" w:eastAsia="zh-CN" w:bidi="ar-SA"/>
        </w:rPr>
      </w:pPr>
    </w:p>
    <w:p w14:paraId="756C8AE3">
      <w:pPr>
        <w:pStyle w:val="28"/>
        <w:rPr>
          <w:rFonts w:ascii="Times New Roman" w:hAnsi="Times New Roman" w:eastAsia="宋体" w:cs="Times New Roman"/>
          <w:kern w:val="2"/>
          <w:szCs w:val="32"/>
          <w:lang w:val="en-US" w:eastAsia="zh-CN" w:bidi="ar-SA"/>
        </w:rPr>
      </w:pPr>
    </w:p>
    <w:p w14:paraId="2B34929C">
      <w:pPr>
        <w:pStyle w:val="28"/>
        <w:rPr>
          <w:rFonts w:ascii="Times New Roman" w:hAnsi="Times New Roman" w:eastAsia="宋体" w:cs="Times New Roman"/>
          <w:kern w:val="2"/>
          <w:szCs w:val="32"/>
          <w:lang w:val="en-US" w:eastAsia="zh-CN" w:bidi="ar-SA"/>
        </w:rPr>
      </w:pPr>
    </w:p>
    <w:p w14:paraId="29D57B45">
      <w:pPr>
        <w:pStyle w:val="28"/>
        <w:rPr>
          <w:rFonts w:ascii="Times New Roman" w:hAnsi="Times New Roman" w:eastAsia="宋体" w:cs="Times New Roman"/>
          <w:kern w:val="2"/>
          <w:szCs w:val="32"/>
          <w:lang w:val="en-US" w:eastAsia="zh-CN" w:bidi="ar-SA"/>
        </w:rPr>
      </w:pPr>
    </w:p>
    <w:p w14:paraId="7578F0BE">
      <w:pPr>
        <w:pStyle w:val="28"/>
        <w:rPr>
          <w:rFonts w:ascii="Times New Roman" w:hAnsi="Times New Roman" w:eastAsia="宋体" w:cs="Times New Roman"/>
          <w:kern w:val="2"/>
          <w:szCs w:val="32"/>
          <w:lang w:val="en-US" w:eastAsia="zh-CN" w:bidi="ar-SA"/>
        </w:rPr>
      </w:pPr>
    </w:p>
    <w:p w14:paraId="745A000E">
      <w:pPr>
        <w:pStyle w:val="28"/>
        <w:rPr>
          <w:rFonts w:ascii="Times New Roman" w:hAnsi="Times New Roman" w:eastAsia="宋体" w:cs="Times New Roman"/>
          <w:kern w:val="2"/>
          <w:szCs w:val="32"/>
          <w:lang w:val="en-US" w:eastAsia="zh-CN" w:bidi="ar-SA"/>
        </w:rPr>
      </w:pPr>
    </w:p>
    <w:p w14:paraId="33CB49D6">
      <w:pPr>
        <w:pStyle w:val="28"/>
        <w:rPr>
          <w:rFonts w:ascii="Times New Roman" w:hAnsi="Times New Roman" w:eastAsia="宋体" w:cs="Times New Roman"/>
          <w:kern w:val="2"/>
          <w:szCs w:val="32"/>
          <w:lang w:val="en-US" w:eastAsia="zh-CN" w:bidi="ar-SA"/>
        </w:rPr>
      </w:pPr>
    </w:p>
    <w:p w14:paraId="135AC4D8">
      <w:pPr>
        <w:pStyle w:val="28"/>
        <w:rPr>
          <w:rFonts w:ascii="Times New Roman" w:hAnsi="Times New Roman" w:eastAsia="宋体" w:cs="Times New Roman"/>
          <w:kern w:val="2"/>
          <w:szCs w:val="32"/>
          <w:lang w:val="en-US" w:eastAsia="zh-CN" w:bidi="ar-SA"/>
        </w:rPr>
      </w:pPr>
    </w:p>
    <w:p w14:paraId="41AE5432">
      <w:pPr>
        <w:pStyle w:val="28"/>
        <w:rPr>
          <w:rFonts w:ascii="Times New Roman" w:hAnsi="Times New Roman" w:eastAsia="宋体" w:cs="Times New Roman"/>
          <w:kern w:val="2"/>
          <w:szCs w:val="32"/>
          <w:lang w:val="en-US" w:eastAsia="zh-CN" w:bidi="ar-SA"/>
        </w:rPr>
      </w:pPr>
    </w:p>
    <w:p w14:paraId="6D4DAC2B">
      <w:pPr>
        <w:pStyle w:val="28"/>
        <w:rPr>
          <w:rFonts w:ascii="Times New Roman" w:hAnsi="Times New Roman" w:eastAsia="宋体" w:cs="Times New Roman"/>
          <w:kern w:val="2"/>
          <w:szCs w:val="32"/>
          <w:lang w:val="en-US" w:eastAsia="zh-CN" w:bidi="ar-SA"/>
        </w:rPr>
      </w:pPr>
    </w:p>
    <w:p w14:paraId="7C39C4FF">
      <w:pPr>
        <w:pStyle w:val="7"/>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3" w:name="_Toc20903"/>
      <w:bookmarkStart w:id="4" w:name="_Toc27056"/>
      <w:r>
        <w:rPr>
          <w:rFonts w:hint="eastAsia" w:ascii="华文中宋" w:hAnsi="华文中宋" w:eastAsia="华文中宋" w:cs="华文中宋"/>
          <w:b w:val="0"/>
          <w:bCs w:val="0"/>
          <w:sz w:val="44"/>
          <w:szCs w:val="44"/>
          <w:lang w:val="en-US" w:eastAsia="zh-CN"/>
        </w:rPr>
        <w:t>谈判</w:t>
      </w:r>
      <w:bookmarkEnd w:id="3"/>
      <w:r>
        <w:rPr>
          <w:rFonts w:hint="eastAsia" w:ascii="华文中宋" w:hAnsi="华文中宋" w:eastAsia="华文中宋" w:cs="华文中宋"/>
          <w:b w:val="0"/>
          <w:bCs w:val="0"/>
          <w:sz w:val="44"/>
          <w:szCs w:val="44"/>
          <w:lang w:val="en-US" w:eastAsia="zh-CN"/>
        </w:rPr>
        <w:t>须知前附表</w:t>
      </w:r>
      <w:bookmarkEnd w:id="4"/>
    </w:p>
    <w:p w14:paraId="20FC3642">
      <w:pPr>
        <w:numPr>
          <w:ilvl w:val="0"/>
          <w:numId w:val="0"/>
        </w:numPr>
        <w:rPr>
          <w:rFonts w:hint="eastAsia"/>
        </w:rPr>
      </w:pPr>
    </w:p>
    <w:tbl>
      <w:tblPr>
        <w:tblStyle w:val="21"/>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7080"/>
      </w:tblGrid>
      <w:tr w14:paraId="7B678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5" w:hRule="atLeast"/>
        </w:trPr>
        <w:tc>
          <w:tcPr>
            <w:tcW w:w="1866" w:type="dxa"/>
            <w:tcBorders>
              <w:tl2br w:val="nil"/>
              <w:tr2bl w:val="nil"/>
            </w:tcBorders>
            <w:vAlign w:val="center"/>
          </w:tcPr>
          <w:p w14:paraId="7CDDAA99">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名称</w:t>
            </w:r>
          </w:p>
        </w:tc>
        <w:tc>
          <w:tcPr>
            <w:tcW w:w="7080" w:type="dxa"/>
            <w:tcBorders>
              <w:tl2br w:val="nil"/>
              <w:tr2bl w:val="nil"/>
            </w:tcBorders>
            <w:vAlign w:val="top"/>
          </w:tcPr>
          <w:p w14:paraId="4B9E9990">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sz w:val="32"/>
                <w:szCs w:val="32"/>
                <w:lang w:val="en-US" w:eastAsia="zh-CN"/>
              </w:rPr>
              <w:t>德令哈游泳馆锅炉维修单位选聘项目</w:t>
            </w:r>
          </w:p>
        </w:tc>
      </w:tr>
      <w:tr w14:paraId="6C7BB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7A0F8C7">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项目编号</w:t>
            </w:r>
          </w:p>
        </w:tc>
        <w:tc>
          <w:tcPr>
            <w:tcW w:w="7080" w:type="dxa"/>
            <w:tcBorders>
              <w:tl2br w:val="nil"/>
              <w:tr2bl w:val="nil"/>
            </w:tcBorders>
            <w:vAlign w:val="top"/>
          </w:tcPr>
          <w:p w14:paraId="3080A3A3">
            <w:pPr>
              <w:wordWrap/>
              <w:adjustRightInd w:val="0"/>
              <w:snapToGrid w:val="0"/>
              <w:spacing w:before="157" w:beforeLines="50" w:line="560" w:lineRule="exact"/>
              <w:jc w:val="left"/>
              <w:rPr>
                <w:rFonts w:hint="default" w:ascii="仿宋_GB2312" w:hAnsi="仿宋_GB2312" w:eastAsia="仿宋_GB2312" w:cs="仿宋_GB2312"/>
                <w:color w:val="auto"/>
                <w:kern w:val="2"/>
                <w:sz w:val="32"/>
                <w:szCs w:val="32"/>
                <w:u w:val="single"/>
                <w:lang w:val="en-US"/>
              </w:rPr>
            </w:pPr>
            <w:r>
              <w:rPr>
                <w:rFonts w:hint="eastAsia" w:ascii="仿宋_GB2312" w:hAnsi="仿宋_GB2312" w:eastAsia="仿宋_GB2312" w:cs="仿宋_GB2312"/>
                <w:b w:val="0"/>
                <w:bCs/>
                <w:sz w:val="32"/>
                <w:szCs w:val="32"/>
                <w:lang w:val="en-US" w:eastAsia="zh-CN"/>
              </w:rPr>
              <w:t>海西国投-</w:t>
            </w:r>
            <w:r>
              <w:rPr>
                <w:rFonts w:hint="eastAsia" w:ascii="仿宋_GB2312" w:hAnsi="仿宋_GB2312" w:eastAsia="仿宋_GB2312" w:cs="仿宋_GB2312"/>
                <w:b w:val="0"/>
                <w:bCs/>
                <w:sz w:val="32"/>
                <w:szCs w:val="32"/>
                <w:lang w:val="zh-CN" w:eastAsia="zh-CN"/>
              </w:rPr>
              <w:t>竞</w:t>
            </w:r>
            <w:r>
              <w:rPr>
                <w:rFonts w:hint="eastAsia" w:ascii="仿宋_GB2312" w:hAnsi="仿宋_GB2312" w:eastAsia="仿宋_GB2312" w:cs="仿宋_GB2312"/>
                <w:b w:val="0"/>
                <w:bCs/>
                <w:sz w:val="32"/>
                <w:szCs w:val="32"/>
                <w:lang w:val="en-US" w:eastAsia="zh-CN"/>
              </w:rPr>
              <w:t>磋-2024-26</w:t>
            </w:r>
          </w:p>
        </w:tc>
      </w:tr>
      <w:tr w14:paraId="532E1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013DD9E">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选聘</w:t>
            </w:r>
            <w:r>
              <w:rPr>
                <w:rFonts w:hint="eastAsia" w:ascii="仿宋_GB2312" w:hAnsi="仿宋_GB2312" w:eastAsia="仿宋_GB2312" w:cs="仿宋_GB2312"/>
                <w:sz w:val="32"/>
                <w:szCs w:val="32"/>
                <w:lang w:eastAsia="zh-CN"/>
              </w:rPr>
              <w:t>方式</w:t>
            </w:r>
          </w:p>
        </w:tc>
        <w:tc>
          <w:tcPr>
            <w:tcW w:w="7080" w:type="dxa"/>
            <w:tcBorders>
              <w:tl2br w:val="nil"/>
              <w:tr2bl w:val="nil"/>
            </w:tcBorders>
            <w:vAlign w:val="top"/>
          </w:tcPr>
          <w:p w14:paraId="5D64B291">
            <w:pPr>
              <w:wordWrap/>
              <w:adjustRightInd w:val="0"/>
              <w:snapToGrid w:val="0"/>
              <w:spacing w:before="157"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w:t>
            </w:r>
            <w:r>
              <w:rPr>
                <w:rFonts w:hint="eastAsia" w:ascii="仿宋_GB2312" w:hAnsi="仿宋_GB2312" w:eastAsia="仿宋_GB2312" w:cs="仿宋_GB2312"/>
                <w:sz w:val="32"/>
                <w:szCs w:val="32"/>
                <w:lang w:val="en-US" w:eastAsia="zh-CN"/>
              </w:rPr>
              <w:t>磋商</w:t>
            </w:r>
          </w:p>
        </w:tc>
      </w:tr>
      <w:tr w14:paraId="3CF57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A1A54C0">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项目分包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个数</w:t>
            </w:r>
          </w:p>
        </w:tc>
        <w:tc>
          <w:tcPr>
            <w:tcW w:w="7080" w:type="dxa"/>
            <w:tcBorders>
              <w:tl2br w:val="nil"/>
              <w:tr2bl w:val="nil"/>
            </w:tcBorders>
            <w:vAlign w:val="center"/>
          </w:tcPr>
          <w:p w14:paraId="4689F388">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u w:val="none"/>
                <w:lang w:val="zh-CN"/>
              </w:rPr>
              <w:t>无分包</w:t>
            </w:r>
          </w:p>
        </w:tc>
      </w:tr>
      <w:tr w14:paraId="09588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3ABBF3BA">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项目概况</w:t>
            </w:r>
          </w:p>
        </w:tc>
        <w:tc>
          <w:tcPr>
            <w:tcW w:w="7080" w:type="dxa"/>
            <w:tcBorders>
              <w:tl2br w:val="nil"/>
              <w:tr2bl w:val="nil"/>
            </w:tcBorders>
            <w:vAlign w:val="center"/>
          </w:tcPr>
          <w:p w14:paraId="26184212">
            <w:pPr>
              <w:pStyle w:val="28"/>
              <w:numPr>
                <w:ilvl w:val="0"/>
                <w:numId w:val="0"/>
              </w:numPr>
              <w:ind w:leftChars="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游泳馆</w:t>
            </w:r>
            <w:r>
              <w:rPr>
                <w:rFonts w:hint="default" w:ascii="仿宋_GB2312" w:hAnsi="仿宋_GB2312" w:eastAsia="仿宋_GB2312" w:cs="仿宋_GB2312"/>
                <w:kern w:val="2"/>
                <w:sz w:val="32"/>
                <w:szCs w:val="32"/>
                <w:lang w:val="en-US" w:eastAsia="zh-CN" w:bidi="ar-SA"/>
              </w:rPr>
              <w:t>1号锅炉(型号:江苏双良锅炉有限公司生产的 WNS6-1.25-QT(LN)高效节能冷凝式燃气蒸汽锅炉)自投入使用至今已连续使用10年，因使用年限较长出现(型号: WN6D/L-6-1/2-0)烟气节能器(省煤器)内部 ND 钢U型翅片换热器腐蚀泄漏水;前烟箱火口处耐火层烧裂，局部区域耐火材料脱落:锅炉出烟口转弯烟道内层烟气侧钢板在长期运行过程中受热应力影响，出现明显的变形，且转弯烟道内层钢板及焊缝处锈蚀严重，导致1号锅炉无法使用</w:t>
            </w:r>
            <w:r>
              <w:rPr>
                <w:rFonts w:hint="eastAsia" w:ascii="仿宋_GB2312" w:hAnsi="仿宋_GB2312" w:eastAsia="仿宋_GB2312" w:cs="仿宋_GB2312"/>
                <w:kern w:val="2"/>
                <w:sz w:val="32"/>
                <w:szCs w:val="32"/>
                <w:lang w:val="en-US" w:eastAsia="zh-CN" w:bidi="ar-SA"/>
              </w:rPr>
              <w:t>。现需对游泳馆1号锅炉上述问题进行维修、更换，其中，烟气节能器(省煤器)需整体更换，箱体尺寸为长1290毫米:宽 1220 毫米，高935 毫米，须采用 ND 钢管制作U型翅片换热器U形排列，不少于164孔，U型翅片管管壁厚度不低于3.5 毫米，烟气流通截面积不小于0.3平方米，U型翅片管有效换热面积不小 48 平方米，且必须符合国家相关规定。</w:t>
            </w:r>
          </w:p>
        </w:tc>
      </w:tr>
      <w:tr w14:paraId="21E4E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D62CBC4">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质保期</w:t>
            </w:r>
          </w:p>
        </w:tc>
        <w:tc>
          <w:tcPr>
            <w:tcW w:w="7080" w:type="dxa"/>
            <w:tcBorders>
              <w:tl2br w:val="nil"/>
              <w:tr2bl w:val="nil"/>
            </w:tcBorders>
            <w:vAlign w:val="center"/>
          </w:tcPr>
          <w:p w14:paraId="13F4F7F9">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w:t>
            </w:r>
          </w:p>
        </w:tc>
      </w:tr>
      <w:tr w14:paraId="41683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E07B895">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保证金</w:t>
            </w:r>
          </w:p>
        </w:tc>
        <w:tc>
          <w:tcPr>
            <w:tcW w:w="7080" w:type="dxa"/>
            <w:tcBorders>
              <w:tl2br w:val="nil"/>
              <w:tr2bl w:val="nil"/>
            </w:tcBorders>
            <w:vAlign w:val="center"/>
          </w:tcPr>
          <w:p w14:paraId="3936A6B5">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c>
      </w:tr>
      <w:tr w14:paraId="44AA8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6AE8F2A">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质量标准</w:t>
            </w:r>
          </w:p>
        </w:tc>
        <w:tc>
          <w:tcPr>
            <w:tcW w:w="7080" w:type="dxa"/>
            <w:tcBorders>
              <w:tl2br w:val="nil"/>
              <w:tr2bl w:val="nil"/>
            </w:tcBorders>
            <w:vAlign w:val="center"/>
          </w:tcPr>
          <w:p w14:paraId="0C9F79D0">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满足相关标准和招标人要求.</w:t>
            </w:r>
          </w:p>
        </w:tc>
      </w:tr>
      <w:tr w14:paraId="6F6BF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E8DA423">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项目地点</w:t>
            </w:r>
          </w:p>
        </w:tc>
        <w:tc>
          <w:tcPr>
            <w:tcW w:w="7080" w:type="dxa"/>
            <w:tcBorders>
              <w:tl2br w:val="nil"/>
              <w:tr2bl w:val="nil"/>
            </w:tcBorders>
            <w:vAlign w:val="center"/>
          </w:tcPr>
          <w:p w14:paraId="14A7FDB0">
            <w:pPr>
              <w:pStyle w:val="28"/>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青海省海西州德令哈市游泳馆</w:t>
            </w:r>
          </w:p>
        </w:tc>
      </w:tr>
      <w:tr w14:paraId="29C4BE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80783A3">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竞标人</w:t>
            </w:r>
            <w:r>
              <w:rPr>
                <w:rFonts w:hint="eastAsia" w:ascii="仿宋_GB2312" w:hAnsi="仿宋_GB2312" w:eastAsia="仿宋_GB2312" w:cs="仿宋_GB2312"/>
                <w:sz w:val="32"/>
                <w:szCs w:val="32"/>
              </w:rPr>
              <w:t>资格条件</w:t>
            </w:r>
          </w:p>
        </w:tc>
        <w:tc>
          <w:tcPr>
            <w:tcW w:w="7080" w:type="dxa"/>
            <w:tcBorders>
              <w:tl2br w:val="nil"/>
              <w:tr2bl w:val="nil"/>
            </w:tcBorders>
            <w:vAlign w:val="top"/>
          </w:tcPr>
          <w:p w14:paraId="0EFFCB41">
            <w:pPr>
              <w:widowControl w:val="0"/>
              <w:wordWrap/>
              <w:autoSpaceDE w:val="0"/>
              <w:autoSpaceDN w:val="0"/>
              <w:spacing w:line="56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经信用中国（www.creditchina.gov.cn）、</w:t>
            </w:r>
            <w:r>
              <w:rPr>
                <w:rFonts w:hint="eastAsia" w:ascii="仿宋_GB2312" w:hAnsi="仿宋_GB2312" w:eastAsia="仿宋_GB2312" w:cs="仿宋_GB2312"/>
                <w:kern w:val="2"/>
                <w:sz w:val="32"/>
                <w:szCs w:val="32"/>
                <w:lang w:val="en-US" w:eastAsia="zh-CN" w:bidi="ar-SA"/>
              </w:rPr>
              <w:t>中国政府采购网（www.ccgp.gov.cn）等渠道查询后，列入失信被执行人、重大税收违法案件当事人名单、政府采购严重违法失信行为记录名单的，取消谈判资格。（附“信用中国”网站“下载信用信息报告”栏中的法人和其他组织信用信息，时间为谈判文件响应截止时间前20天内）；</w:t>
            </w:r>
          </w:p>
          <w:p w14:paraId="4A79175E">
            <w:pPr>
              <w:widowControl w:val="0"/>
              <w:wordWrap/>
              <w:autoSpaceDE w:val="0"/>
              <w:autoSpaceDN w:val="0"/>
              <w:spacing w:line="56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单位负责人为同一人或者存在直接控股、管理关系的不同</w:t>
            </w:r>
            <w:r>
              <w:rPr>
                <w:rFonts w:hint="eastAsia" w:ascii="仿宋_GB2312" w:hAnsi="仿宋_GB2312" w:eastAsia="仿宋_GB2312" w:cs="仿宋_GB2312"/>
                <w:kern w:val="2"/>
                <w:sz w:val="32"/>
                <w:szCs w:val="32"/>
                <w:lang w:val="en-US" w:eastAsia="zh-CN" w:bidi="ar-SA"/>
              </w:rPr>
              <w:t>竞标人</w:t>
            </w:r>
            <w:r>
              <w:rPr>
                <w:rFonts w:hint="eastAsia" w:ascii="仿宋_GB2312" w:hAnsi="仿宋_GB2312" w:eastAsia="仿宋_GB2312" w:cs="仿宋_GB2312"/>
                <w:kern w:val="2"/>
                <w:sz w:val="32"/>
                <w:szCs w:val="32"/>
                <w:lang w:val="zh-CN" w:eastAsia="zh-CN" w:bidi="ar-SA"/>
              </w:rPr>
              <w:t>，不得参加同一合同项下的</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活动。否则，取消谈判资格；</w:t>
            </w:r>
          </w:p>
          <w:p w14:paraId="7BB0D5F6">
            <w:pPr>
              <w:widowControl w:val="0"/>
              <w:wordWrap/>
              <w:autoSpaceDE w:val="0"/>
              <w:autoSpaceDN w:val="0"/>
              <w:spacing w:line="56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其他资质条件：</w:t>
            </w:r>
          </w:p>
          <w:p w14:paraId="1B286EA9">
            <w:pPr>
              <w:widowControl w:val="0"/>
              <w:wordWrap/>
              <w:adjustRightInd w:val="0"/>
              <w:snapToGrid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1）竞标人应清楚了解所有工程内的实地情况及技术规范；</w:t>
            </w:r>
          </w:p>
          <w:p w14:paraId="06BA8A97">
            <w:pPr>
              <w:widowControl w:val="0"/>
              <w:wordWrap/>
              <w:adjustRightInd w:val="0"/>
              <w:snapToGrid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（2）竞标人应具有独立法人资格，具有《特种设备制造许可证》(锅炉)或《特种设备安装、改造、维修许可证》(锅炉)。</w:t>
            </w:r>
          </w:p>
          <w:p w14:paraId="58751826">
            <w:pPr>
              <w:widowControl w:val="0"/>
              <w:wordWrap/>
              <w:adjustRightInd w:val="0"/>
              <w:snapToGrid w:val="0"/>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（3）竞标人</w:t>
            </w:r>
            <w:r>
              <w:rPr>
                <w:rFonts w:hint="default" w:ascii="仿宋_GB2312" w:hAnsi="仿宋_GB2312" w:eastAsia="仿宋_GB2312" w:cs="仿宋_GB2312"/>
                <w:kern w:val="2"/>
                <w:sz w:val="32"/>
                <w:szCs w:val="32"/>
                <w:lang w:val="en-US" w:eastAsia="zh-CN" w:bidi="ar-SA"/>
              </w:rPr>
              <w:t>在近</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年内具有至少</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项类似锅炉维修项目的业绩，提供相关合同证明。</w:t>
            </w:r>
          </w:p>
          <w:p w14:paraId="0E7B942B">
            <w:pPr>
              <w:widowControl w:val="0"/>
              <w:numPr>
                <w:ilvl w:val="0"/>
                <w:numId w:val="0"/>
              </w:numPr>
              <w:jc w:val="both"/>
              <w:rPr>
                <w:rFonts w:hint="eastAsia" w:eastAsia="仿宋_GB231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color w:val="000000"/>
                <w:sz w:val="32"/>
                <w:szCs w:val="32"/>
                <w:lang w:eastAsia="zh-CN"/>
              </w:rPr>
              <w:t>竞标人</w:t>
            </w:r>
            <w:bookmarkStart w:id="418" w:name="_GoBack"/>
            <w:bookmarkEnd w:id="418"/>
            <w:r>
              <w:rPr>
                <w:rFonts w:hint="default" w:ascii="仿宋_GB2312" w:hAnsi="仿宋_GB2312" w:eastAsia="仿宋_GB2312" w:cs="仿宋_GB2312"/>
                <w:color w:val="000000"/>
                <w:sz w:val="32"/>
                <w:szCs w:val="32"/>
              </w:rPr>
              <w:t>提供近</w:t>
            </w: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2021-2023年</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经第三方审计单位审计的</w:t>
            </w:r>
            <w:r>
              <w:rPr>
                <w:rFonts w:hint="default" w:ascii="仿宋_GB2312" w:hAnsi="仿宋_GB2312" w:eastAsia="仿宋_GB2312" w:cs="仿宋_GB2312"/>
                <w:color w:val="000000"/>
                <w:sz w:val="32"/>
                <w:szCs w:val="32"/>
              </w:rPr>
              <w:t>财务审计报告。</w:t>
            </w:r>
          </w:p>
        </w:tc>
      </w:tr>
      <w:tr w14:paraId="25A4A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top"/>
          </w:tcPr>
          <w:p w14:paraId="390738C6">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080" w:type="dxa"/>
            <w:tcBorders>
              <w:tl2br w:val="nil"/>
              <w:tr2bl w:val="nil"/>
            </w:tcBorders>
            <w:vAlign w:val="top"/>
          </w:tcPr>
          <w:p w14:paraId="1916335B">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w:t>
            </w:r>
            <w:r>
              <w:rPr>
                <w:rFonts w:hint="eastAsia" w:ascii="仿宋_GB2312" w:hAnsi="仿宋_GB2312" w:eastAsia="仿宋_GB2312" w:cs="仿宋_GB2312"/>
                <w:color w:val="000000"/>
                <w:kern w:val="0"/>
                <w:sz w:val="32"/>
                <w:szCs w:val="32"/>
                <w:u w:val="single"/>
                <w:lang w:val="zh-CN"/>
              </w:rPr>
              <w:t>接受</w:t>
            </w:r>
            <w:r>
              <w:rPr>
                <w:rFonts w:hint="eastAsia" w:ascii="仿宋_GB2312" w:hAnsi="仿宋_GB2312" w:eastAsia="仿宋_GB2312" w:cs="仿宋_GB2312"/>
                <w:color w:val="000000"/>
                <w:kern w:val="0"/>
                <w:sz w:val="32"/>
                <w:szCs w:val="32"/>
                <w:lang w:val="zh-CN"/>
              </w:rPr>
              <w:t>竞标人以联合体方式进行谈判；</w:t>
            </w:r>
          </w:p>
          <w:p w14:paraId="3184419A">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u w:val="single"/>
                <w:lang w:val="en-US" w:eastAsia="zh-CN"/>
              </w:rPr>
              <w:t>/</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w:t>
            </w:r>
          </w:p>
        </w:tc>
      </w:tr>
      <w:tr w14:paraId="4726D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81AD53D">
            <w:pPr>
              <w:wordWrap/>
              <w:adjustRightInd w:val="0"/>
              <w:snapToGrid w:val="0"/>
              <w:spacing w:before="157" w:beforeLines="50" w:line="560" w:lineRule="exact"/>
              <w:jc w:val="center"/>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bCs/>
                <w:sz w:val="32"/>
                <w:szCs w:val="32"/>
                <w:u w:val="none" w:color="auto"/>
              </w:rPr>
              <w:t>谈判文件的实质性变动内容</w:t>
            </w:r>
          </w:p>
        </w:tc>
        <w:tc>
          <w:tcPr>
            <w:tcW w:w="7080" w:type="dxa"/>
            <w:tcBorders>
              <w:tl2br w:val="nil"/>
              <w:tr2bl w:val="nil"/>
            </w:tcBorders>
            <w:vAlign w:val="center"/>
          </w:tcPr>
          <w:p w14:paraId="08506CF1">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none" w:color="auto"/>
              </w:rPr>
            </w:pPr>
            <w:r>
              <w:rPr>
                <w:rFonts w:hint="eastAsia" w:ascii="仿宋_GB2312" w:hAnsi="仿宋_GB2312" w:eastAsia="仿宋_GB2312" w:cs="仿宋_GB2312"/>
                <w:sz w:val="32"/>
                <w:szCs w:val="32"/>
                <w:highlight w:val="none"/>
                <w:u w:val="none" w:color="auto"/>
                <w:lang w:val="en-US" w:eastAsia="zh-CN"/>
              </w:rPr>
              <w:t>允许根据谈判工作实际情况，对</w:t>
            </w:r>
            <w:r>
              <w:rPr>
                <w:rFonts w:hint="eastAsia" w:ascii="仿宋_GB2312" w:hAnsi="仿宋_GB2312" w:eastAsia="仿宋_GB2312" w:cs="仿宋_GB2312"/>
                <w:sz w:val="32"/>
                <w:szCs w:val="32"/>
                <w:highlight w:val="none"/>
                <w:u w:val="single" w:color="auto"/>
                <w:lang w:val="en-US" w:eastAsia="zh-CN"/>
              </w:rPr>
              <w:t xml:space="preserve">   /   </w:t>
            </w:r>
            <w:r>
              <w:rPr>
                <w:rFonts w:hint="eastAsia" w:ascii="仿宋_GB2312" w:hAnsi="仿宋_GB2312" w:eastAsia="仿宋_GB2312" w:cs="仿宋_GB2312"/>
                <w:sz w:val="32"/>
                <w:szCs w:val="32"/>
                <w:highlight w:val="none"/>
                <w:u w:val="none" w:color="auto"/>
                <w:lang w:val="en-US" w:eastAsia="zh-CN"/>
              </w:rPr>
              <w:t>内容进行实质性修改（包括技术、服务和合同条款）。</w:t>
            </w:r>
          </w:p>
        </w:tc>
      </w:tr>
      <w:tr w14:paraId="25524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3194B9D">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080" w:type="dxa"/>
            <w:tcBorders>
              <w:tl2br w:val="nil"/>
              <w:tr2bl w:val="nil"/>
            </w:tcBorders>
            <w:vAlign w:val="center"/>
          </w:tcPr>
          <w:p w14:paraId="5E81C24D">
            <w:pPr>
              <w:widowControl w:val="0"/>
              <w:wordWrap/>
              <w:adjustRightInd w:val="0"/>
              <w:snapToGrid w:val="0"/>
              <w:spacing w:line="560" w:lineRule="exact"/>
              <w:jc w:val="center"/>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auto"/>
                <w:kern w:val="0"/>
                <w:sz w:val="32"/>
                <w:szCs w:val="32"/>
                <w:highlight w:val="yellow"/>
                <w:u w:val="single"/>
                <w:lang w:val="en-US" w:eastAsia="zh-CN"/>
              </w:rPr>
              <w:t xml:space="preserve">2024 </w:t>
            </w:r>
            <w:r>
              <w:rPr>
                <w:rFonts w:hint="eastAsia" w:ascii="仿宋_GB2312" w:hAnsi="仿宋_GB2312" w:eastAsia="仿宋_GB2312" w:cs="仿宋_GB2312"/>
                <w:color w:val="auto"/>
                <w:kern w:val="0"/>
                <w:sz w:val="32"/>
                <w:szCs w:val="32"/>
                <w:highlight w:val="yellow"/>
              </w:rPr>
              <w:t>年</w:t>
            </w:r>
            <w:r>
              <w:rPr>
                <w:rFonts w:hint="eastAsia" w:ascii="仿宋_GB2312" w:hAnsi="仿宋_GB2312" w:eastAsia="仿宋_GB2312" w:cs="仿宋_GB2312"/>
                <w:color w:val="auto"/>
                <w:kern w:val="0"/>
                <w:sz w:val="32"/>
                <w:szCs w:val="32"/>
                <w:highlight w:val="yellow"/>
                <w:u w:val="single"/>
                <w:lang w:val="en-US" w:eastAsia="zh-CN"/>
              </w:rPr>
              <w:t>8</w:t>
            </w:r>
            <w:r>
              <w:rPr>
                <w:rFonts w:hint="eastAsia" w:ascii="仿宋_GB2312" w:hAnsi="仿宋_GB2312" w:eastAsia="仿宋_GB2312" w:cs="仿宋_GB2312"/>
                <w:color w:val="auto"/>
                <w:kern w:val="0"/>
                <w:sz w:val="32"/>
                <w:szCs w:val="32"/>
                <w:highlight w:val="yellow"/>
              </w:rPr>
              <w:t>月</w:t>
            </w:r>
            <w:r>
              <w:rPr>
                <w:rFonts w:hint="eastAsia" w:ascii="仿宋_GB2312" w:hAnsi="仿宋_GB2312" w:eastAsia="仿宋_GB2312" w:cs="仿宋_GB2312"/>
                <w:color w:val="auto"/>
                <w:kern w:val="0"/>
                <w:sz w:val="32"/>
                <w:szCs w:val="32"/>
                <w:highlight w:val="yellow"/>
                <w:u w:val="single"/>
                <w:lang w:val="en-US" w:eastAsia="zh-CN"/>
              </w:rPr>
              <w:t xml:space="preserve">9 </w:t>
            </w:r>
            <w:r>
              <w:rPr>
                <w:rFonts w:hint="eastAsia" w:ascii="仿宋_GB2312" w:hAnsi="仿宋_GB2312" w:eastAsia="仿宋_GB2312" w:cs="仿宋_GB2312"/>
                <w:color w:val="auto"/>
                <w:kern w:val="0"/>
                <w:sz w:val="32"/>
                <w:szCs w:val="32"/>
                <w:highlight w:val="yellow"/>
              </w:rPr>
              <w:t>日（北京时间）</w:t>
            </w:r>
          </w:p>
        </w:tc>
      </w:tr>
      <w:tr w14:paraId="747FB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B42A2BD">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时间</w:t>
            </w:r>
          </w:p>
        </w:tc>
        <w:tc>
          <w:tcPr>
            <w:tcW w:w="7080" w:type="dxa"/>
            <w:tcBorders>
              <w:tl2br w:val="nil"/>
              <w:tr2bl w:val="nil"/>
            </w:tcBorders>
            <w:vAlign w:val="top"/>
          </w:tcPr>
          <w:p w14:paraId="7C7573BC">
            <w:pPr>
              <w:widowControl w:val="0"/>
              <w:wordWrap/>
              <w:spacing w:line="560" w:lineRule="exact"/>
              <w:textAlignment w:val="auto"/>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highlight w:val="yellow"/>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2024 </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lang w:val="en-US" w:eastAsia="zh-CN"/>
              </w:rPr>
              <w:t xml:space="preserve">  8 </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9</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日</w:t>
            </w:r>
            <w:r>
              <w:rPr>
                <w:rFonts w:hint="eastAsia" w:ascii="仿宋_GB2312" w:hAnsi="仿宋_GB2312" w:eastAsia="仿宋_GB2312" w:cs="仿宋_GB2312"/>
                <w:color w:val="000000"/>
                <w:kern w:val="0"/>
                <w:sz w:val="32"/>
                <w:szCs w:val="32"/>
                <w:highlight w:val="yellow"/>
                <w:u w:val="single"/>
                <w:lang w:val="en-US" w:eastAsia="zh-CN"/>
              </w:rPr>
              <w:t xml:space="preserve">  9  </w:t>
            </w:r>
            <w:r>
              <w:rPr>
                <w:rFonts w:hint="eastAsia" w:ascii="仿宋_GB2312" w:hAnsi="仿宋_GB2312" w:eastAsia="仿宋_GB2312" w:cs="仿宋_GB2312"/>
                <w:color w:val="000000"/>
                <w:kern w:val="0"/>
                <w:sz w:val="32"/>
                <w:szCs w:val="32"/>
                <w:highlight w:val="yellow"/>
                <w:lang w:val="en-US" w:eastAsia="zh-CN"/>
              </w:rPr>
              <w:t>时</w:t>
            </w:r>
            <w:r>
              <w:rPr>
                <w:rFonts w:hint="eastAsia" w:ascii="仿宋_GB2312" w:hAnsi="仿宋_GB2312" w:eastAsia="仿宋_GB2312" w:cs="仿宋_GB2312"/>
                <w:color w:val="000000"/>
                <w:kern w:val="0"/>
                <w:sz w:val="32"/>
                <w:szCs w:val="32"/>
                <w:highlight w:val="yellow"/>
              </w:rPr>
              <w:t>至</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2024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8</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 xml:space="preserve"> 13</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日</w:t>
            </w:r>
            <w:r>
              <w:rPr>
                <w:rFonts w:hint="eastAsia" w:ascii="仿宋_GB2312" w:hAnsi="仿宋_GB2312" w:eastAsia="仿宋_GB2312" w:cs="仿宋_GB2312"/>
                <w:color w:val="000000"/>
                <w:kern w:val="0"/>
                <w:sz w:val="32"/>
                <w:szCs w:val="32"/>
                <w:highlight w:val="yellow"/>
                <w:u w:val="single"/>
                <w:lang w:val="en-US" w:eastAsia="zh-CN"/>
              </w:rPr>
              <w:t xml:space="preserve">  18  </w:t>
            </w:r>
            <w:r>
              <w:rPr>
                <w:rFonts w:hint="eastAsia" w:ascii="仿宋_GB2312" w:hAnsi="仿宋_GB2312" w:eastAsia="仿宋_GB2312" w:cs="仿宋_GB2312"/>
                <w:color w:val="000000"/>
                <w:kern w:val="0"/>
                <w:sz w:val="32"/>
                <w:szCs w:val="32"/>
                <w:highlight w:val="yellow"/>
                <w:u w:val="none"/>
                <w:lang w:val="en-US" w:eastAsia="zh-CN"/>
              </w:rPr>
              <w:t>时</w:t>
            </w:r>
            <w:r>
              <w:rPr>
                <w:rFonts w:hint="eastAsia" w:ascii="仿宋_GB2312" w:hAnsi="仿宋_GB2312" w:eastAsia="仿宋_GB2312" w:cs="仿宋_GB2312"/>
                <w:color w:val="000000"/>
                <w:kern w:val="0"/>
                <w:sz w:val="32"/>
                <w:szCs w:val="32"/>
                <w:highlight w:val="yellow"/>
              </w:rPr>
              <w:t xml:space="preserve">（北京时间）          </w:t>
            </w:r>
          </w:p>
        </w:tc>
      </w:tr>
      <w:tr w14:paraId="50C8A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05BD41D">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080" w:type="dxa"/>
            <w:tcBorders>
              <w:tl2br w:val="nil"/>
              <w:tr2bl w:val="nil"/>
            </w:tcBorders>
            <w:vAlign w:val="center"/>
          </w:tcPr>
          <w:p w14:paraId="54DC7949">
            <w:pPr>
              <w:widowControl w:val="0"/>
              <w:tabs>
                <w:tab w:val="left" w:pos="320"/>
              </w:tabs>
              <w:wordWrap/>
              <w:adjustRightInd w:val="0"/>
              <w:snapToGrid w:val="0"/>
              <w:spacing w:line="560" w:lineRule="exac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自行在官网下载</w:t>
            </w:r>
          </w:p>
        </w:tc>
      </w:tr>
      <w:tr w14:paraId="2E5B7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114C911">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7080" w:type="dxa"/>
            <w:tcBorders>
              <w:tl2br w:val="nil"/>
              <w:tr2bl w:val="nil"/>
            </w:tcBorders>
            <w:vAlign w:val="center"/>
          </w:tcPr>
          <w:p w14:paraId="361F01DB">
            <w:pPr>
              <w:widowControl w:val="0"/>
              <w:wordWrap/>
              <w:adjustRightInd w:val="0"/>
              <w:snapToGrid w:val="0"/>
              <w:spacing w:line="560" w:lineRule="exact"/>
              <w:jc w:val="both"/>
              <w:textAlignment w:val="auto"/>
              <w:rPr>
                <w:rFonts w:hint="eastAsia"/>
                <w:lang w:val="en-US" w:eastAsia="zh-CN"/>
              </w:rPr>
            </w:pPr>
            <w:r>
              <w:rPr>
                <w:rFonts w:hint="eastAsia" w:ascii="仿宋_GB2312" w:hAnsi="仿宋_GB2312" w:eastAsia="仿宋_GB2312" w:cs="仿宋_GB2312"/>
                <w:sz w:val="32"/>
                <w:szCs w:val="32"/>
                <w:lang w:val="en-US" w:eastAsia="zh-CN"/>
              </w:rPr>
              <w:t>报名联系人：杨先生 17716001865</w:t>
            </w:r>
          </w:p>
        </w:tc>
      </w:tr>
      <w:tr w14:paraId="4A07A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327A5BD3">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080" w:type="dxa"/>
            <w:tcBorders>
              <w:tl2br w:val="nil"/>
              <w:tr2bl w:val="nil"/>
            </w:tcBorders>
            <w:vAlign w:val="center"/>
          </w:tcPr>
          <w:p w14:paraId="13B1DAEF">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自谈判提交响应文件截止之日起不少于</w:t>
            </w:r>
            <w:r>
              <w:rPr>
                <w:rFonts w:hint="eastAsia" w:ascii="仿宋_GB2312" w:hAnsi="仿宋_GB2312" w:eastAsia="仿宋_GB2312" w:cs="仿宋_GB2312"/>
                <w:sz w:val="32"/>
                <w:szCs w:val="32"/>
                <w:u w:val="single"/>
                <w:lang w:val="en-US" w:eastAsia="zh-CN"/>
              </w:rPr>
              <w:t xml:space="preserve"> 90   </w:t>
            </w:r>
            <w:r>
              <w:rPr>
                <w:rFonts w:hint="eastAsia" w:ascii="仿宋_GB2312" w:hAnsi="仿宋_GB2312" w:eastAsia="仿宋_GB2312" w:cs="仿宋_GB2312"/>
                <w:sz w:val="32"/>
                <w:szCs w:val="32"/>
                <w:lang w:val="en-US" w:eastAsia="zh-CN"/>
              </w:rPr>
              <w:t>天</w:t>
            </w:r>
          </w:p>
        </w:tc>
      </w:tr>
      <w:tr w14:paraId="097A6F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14:paraId="09ADBF5A">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7080" w:type="dxa"/>
            <w:tcBorders>
              <w:tl2br w:val="nil"/>
              <w:tr2bl w:val="nil"/>
            </w:tcBorders>
            <w:vAlign w:val="center"/>
          </w:tcPr>
          <w:p w14:paraId="3B4318F7">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一</w:t>
            </w:r>
            <w:r>
              <w:rPr>
                <w:rFonts w:hint="eastAsia" w:ascii="仿宋_GB2312" w:hAnsi="仿宋_GB2312" w:eastAsia="仿宋_GB2312" w:cs="仿宋_GB2312"/>
                <w:sz w:val="32"/>
                <w:szCs w:val="32"/>
                <w:lang w:val="en-US" w:eastAsia="zh-CN"/>
              </w:rPr>
              <w:t>份正本</w:t>
            </w:r>
          </w:p>
        </w:tc>
      </w:tr>
      <w:tr w14:paraId="66422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14:paraId="184AA528">
            <w:pPr>
              <w:wordWrap/>
              <w:adjustRightInd w:val="0"/>
              <w:snapToGrid w:val="0"/>
              <w:spacing w:before="157" w:beforeLines="50"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最高限价</w:t>
            </w:r>
          </w:p>
        </w:tc>
        <w:tc>
          <w:tcPr>
            <w:tcW w:w="7080" w:type="dxa"/>
            <w:tcBorders>
              <w:tl2br w:val="nil"/>
              <w:tr2bl w:val="nil"/>
            </w:tcBorders>
            <w:vAlign w:val="center"/>
          </w:tcPr>
          <w:p w14:paraId="5323985C">
            <w:pPr>
              <w:widowControl w:val="0"/>
              <w:wordWrap/>
              <w:adjustRightInd w:val="0"/>
              <w:snapToGrid w:val="0"/>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13万元，竞标人自行前往现场踏勘后进行报价。</w:t>
            </w:r>
          </w:p>
        </w:tc>
      </w:tr>
      <w:tr w14:paraId="4EB7E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C729B48">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封套上应载明的信息</w:t>
            </w:r>
          </w:p>
        </w:tc>
        <w:tc>
          <w:tcPr>
            <w:tcW w:w="7080" w:type="dxa"/>
            <w:tcBorders>
              <w:tl2br w:val="nil"/>
              <w:tr2bl w:val="nil"/>
            </w:tcBorders>
            <w:vAlign w:val="center"/>
          </w:tcPr>
          <w:p w14:paraId="08BFEB7C">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1.项目名称；</w:t>
            </w:r>
          </w:p>
          <w:p w14:paraId="3B8AD0A0">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2.竞标人名称；</w:t>
            </w:r>
          </w:p>
          <w:p w14:paraId="07E1288B">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3.响应文件密封情况；</w:t>
            </w:r>
          </w:p>
          <w:p w14:paraId="1F3557F6">
            <w:pPr>
              <w:widowControl w:val="0"/>
              <w:wordWrap/>
              <w:adjustRightInd w:val="0"/>
              <w:snapToGrid w:val="0"/>
              <w:spacing w:line="560" w:lineRule="exact"/>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rPr>
              <w:t>4.应在竞标文件背脊侧填写项目名称、竞标人名称。</w:t>
            </w:r>
          </w:p>
        </w:tc>
      </w:tr>
      <w:tr w14:paraId="561FB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8BA4F39">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080" w:type="dxa"/>
            <w:tcBorders>
              <w:tl2br w:val="nil"/>
              <w:tr2bl w:val="nil"/>
            </w:tcBorders>
            <w:vAlign w:val="center"/>
          </w:tcPr>
          <w:p w14:paraId="14D18908">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2024</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8</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 xml:space="preserve">15 </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lang w:val="zh-CN"/>
              </w:rPr>
              <w:t>）</w:t>
            </w:r>
          </w:p>
        </w:tc>
      </w:tr>
      <w:tr w14:paraId="5DE8B8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14:paraId="5A8EE0A6">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开启时间及</w:t>
            </w:r>
          </w:p>
          <w:p w14:paraId="7F873B2E">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谈判地点</w:t>
            </w:r>
          </w:p>
        </w:tc>
        <w:tc>
          <w:tcPr>
            <w:tcW w:w="7080" w:type="dxa"/>
            <w:tcBorders>
              <w:tl2br w:val="nil"/>
              <w:tr2bl w:val="nil"/>
            </w:tcBorders>
            <w:vAlign w:val="center"/>
          </w:tcPr>
          <w:p w14:paraId="17B7F631">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响应文件开启时间：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2024</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8</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 xml:space="preserve">15 </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9</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分（采用北京时间</w:t>
            </w:r>
            <w:r>
              <w:rPr>
                <w:rFonts w:hint="eastAsia" w:ascii="仿宋_GB2312" w:hAnsi="仿宋_GB2312" w:eastAsia="仿宋_GB2312" w:cs="仿宋_GB2312"/>
                <w:b w:val="0"/>
                <w:bCs w:val="0"/>
                <w:sz w:val="32"/>
                <w:szCs w:val="32"/>
                <w:lang w:val="en-US" w:eastAsia="zh-CN"/>
              </w:rPr>
              <w:t>24小时制</w:t>
            </w:r>
            <w:r>
              <w:rPr>
                <w:rFonts w:hint="eastAsia" w:ascii="仿宋_GB2312" w:hAnsi="仿宋_GB2312" w:eastAsia="仿宋_GB2312" w:cs="仿宋_GB2312"/>
                <w:b w:val="0"/>
                <w:bCs w:val="0"/>
                <w:sz w:val="32"/>
                <w:szCs w:val="32"/>
                <w:lang w:eastAsia="zh-CN"/>
              </w:rPr>
              <w:t>）</w:t>
            </w:r>
          </w:p>
          <w:p w14:paraId="7A90A28D">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谈判地点：青海省海西州德令哈市格尔木西路2号柴达木大厦15楼会议室           </w:t>
            </w:r>
          </w:p>
        </w:tc>
      </w:tr>
    </w:tbl>
    <w:p w14:paraId="5C5B5AF7">
      <w:pPr>
        <w:rPr>
          <w:rFonts w:hint="eastAsia" w:ascii="华文中宋" w:hAnsi="华文中宋" w:eastAsia="华文中宋" w:cs="华文中宋"/>
          <w:b w:val="0"/>
          <w:bCs w:val="0"/>
          <w:sz w:val="44"/>
          <w:szCs w:val="44"/>
          <w:lang w:val="en-US" w:eastAsia="zh-CN"/>
        </w:rPr>
      </w:pPr>
      <w:bookmarkStart w:id="5" w:name="_Toc68"/>
      <w:bookmarkStart w:id="6" w:name="_Toc7063_WPSOffice_Level1"/>
      <w:bookmarkStart w:id="7" w:name="_Toc29806_WPSOffice_Level1"/>
      <w:bookmarkStart w:id="8" w:name="_Toc13430_WPSOffice_Level1"/>
      <w:bookmarkStart w:id="9" w:name="_Toc17554"/>
      <w:bookmarkStart w:id="10" w:name="_Toc19849"/>
      <w:bookmarkStart w:id="11" w:name="_Toc26774_WPSOffice_Level1"/>
      <w:bookmarkStart w:id="12" w:name="_Toc29348_WPSOffice_Level1"/>
      <w:bookmarkStart w:id="13" w:name="_Toc25918_WPSOffice_Level1"/>
      <w:r>
        <w:rPr>
          <w:rFonts w:hint="eastAsia" w:ascii="华文中宋" w:hAnsi="华文中宋" w:eastAsia="华文中宋" w:cs="华文中宋"/>
          <w:b w:val="0"/>
          <w:bCs w:val="0"/>
          <w:sz w:val="44"/>
          <w:szCs w:val="44"/>
          <w:lang w:val="en-US" w:eastAsia="zh-CN"/>
        </w:rPr>
        <w:br w:type="page"/>
      </w:r>
    </w:p>
    <w:p w14:paraId="79E8884F">
      <w:pPr>
        <w:pStyle w:val="7"/>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4" w:name="_Toc13048"/>
      <w:r>
        <w:rPr>
          <w:rFonts w:hint="eastAsia" w:ascii="华文中宋" w:hAnsi="华文中宋" w:eastAsia="华文中宋" w:cs="华文中宋"/>
          <w:b w:val="0"/>
          <w:bCs w:val="0"/>
          <w:sz w:val="44"/>
          <w:szCs w:val="44"/>
          <w:lang w:val="en-US" w:eastAsia="zh-CN"/>
        </w:rPr>
        <w:t>第二部分  谈判须知</w:t>
      </w:r>
      <w:bookmarkEnd w:id="5"/>
      <w:bookmarkEnd w:id="6"/>
      <w:bookmarkEnd w:id="7"/>
      <w:bookmarkEnd w:id="8"/>
      <w:bookmarkEnd w:id="9"/>
      <w:bookmarkEnd w:id="10"/>
      <w:bookmarkEnd w:id="11"/>
      <w:bookmarkEnd w:id="12"/>
      <w:bookmarkEnd w:id="13"/>
      <w:bookmarkEnd w:id="14"/>
    </w:p>
    <w:p w14:paraId="4EED99A5">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5" w:name="_Toc19256"/>
      <w:bookmarkStart w:id="16" w:name="_Toc7063_WPSOffice_Level2"/>
      <w:bookmarkStart w:id="17" w:name="_Toc27795"/>
      <w:bookmarkStart w:id="18" w:name="_Toc9336"/>
      <w:bookmarkStart w:id="19" w:name="_Toc34637765"/>
      <w:bookmarkStart w:id="20" w:name="_Toc16562"/>
      <w:bookmarkStart w:id="21" w:name="_Toc17019_WPSOffice_Level2"/>
      <w:bookmarkStart w:id="22" w:name="_Toc29348_WPSOffice_Level2"/>
      <w:r>
        <w:rPr>
          <w:rFonts w:hint="eastAsia" w:ascii="黑体" w:hAnsi="黑体" w:eastAsia="黑体" w:cs="黑体"/>
          <w:b w:val="0"/>
          <w:bCs w:val="0"/>
          <w:kern w:val="2"/>
          <w:sz w:val="32"/>
          <w:szCs w:val="32"/>
          <w:lang w:val="en-US" w:eastAsia="zh-CN" w:bidi="ar-SA"/>
        </w:rPr>
        <w:t>一、说明</w:t>
      </w:r>
      <w:bookmarkEnd w:id="15"/>
      <w:bookmarkEnd w:id="16"/>
      <w:bookmarkEnd w:id="17"/>
      <w:bookmarkEnd w:id="18"/>
      <w:bookmarkEnd w:id="19"/>
      <w:bookmarkEnd w:id="20"/>
      <w:bookmarkEnd w:id="21"/>
      <w:bookmarkEnd w:id="22"/>
    </w:p>
    <w:p w14:paraId="61F9316C">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3" w:name="_Toc13645"/>
      <w:bookmarkStart w:id="24" w:name="_Toc11775_WPSOffice_Level3"/>
      <w:bookmarkStart w:id="25" w:name="_Toc31652"/>
      <w:bookmarkStart w:id="26" w:name="_Toc29026"/>
      <w:bookmarkStart w:id="27" w:name="_Toc7063_WPSOffice_Level3"/>
      <w:r>
        <w:rPr>
          <w:rFonts w:hint="eastAsia" w:ascii="楷体_GB2312" w:hAnsi="楷体_GB2312" w:eastAsia="楷体_GB2312" w:cs="楷体_GB2312"/>
          <w:b/>
          <w:bCs/>
          <w:kern w:val="2"/>
          <w:sz w:val="32"/>
          <w:szCs w:val="32"/>
          <w:lang w:val="en-US" w:eastAsia="zh-CN" w:bidi="ar-SA"/>
        </w:rPr>
        <w:t>1.适用范围</w:t>
      </w:r>
      <w:bookmarkEnd w:id="23"/>
      <w:bookmarkEnd w:id="24"/>
      <w:bookmarkEnd w:id="25"/>
      <w:bookmarkEnd w:id="26"/>
      <w:bookmarkEnd w:id="27"/>
    </w:p>
    <w:p w14:paraId="64514ABD">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中所叙述项目。</w:t>
      </w:r>
    </w:p>
    <w:p w14:paraId="3E26D1D1">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8" w:name="_Toc2404_WPSOffice_Level3"/>
      <w:bookmarkStart w:id="29" w:name="_Toc12080"/>
      <w:bookmarkStart w:id="30" w:name="_Toc1646"/>
      <w:bookmarkStart w:id="31" w:name="_Toc15754_WPSOffice_Level3"/>
      <w:bookmarkStart w:id="32" w:name="_Toc16012"/>
      <w:r>
        <w:rPr>
          <w:rFonts w:hint="eastAsia" w:ascii="楷体_GB2312" w:hAnsi="楷体_GB2312" w:eastAsia="楷体_GB2312" w:cs="楷体_GB2312"/>
          <w:b/>
          <w:bCs/>
          <w:kern w:val="2"/>
          <w:sz w:val="32"/>
          <w:szCs w:val="32"/>
          <w:lang w:val="en-US" w:eastAsia="zh-CN" w:bidi="ar-SA"/>
        </w:rPr>
        <w:t>2.招标人</w:t>
      </w:r>
      <w:bookmarkEnd w:id="28"/>
      <w:bookmarkEnd w:id="29"/>
      <w:bookmarkEnd w:id="30"/>
      <w:bookmarkEnd w:id="31"/>
      <w:bookmarkEnd w:id="32"/>
    </w:p>
    <w:p w14:paraId="16DB32C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2.1招标人</w:t>
      </w:r>
      <w:r>
        <w:rPr>
          <w:rFonts w:hint="eastAsia" w:ascii="仿宋_GB2312" w:hAnsi="仿宋_GB2312" w:eastAsia="仿宋_GB2312" w:cs="仿宋_GB2312"/>
          <w:sz w:val="32"/>
          <w:szCs w:val="32"/>
        </w:rPr>
        <w:t>名称、地址、电话、联系人见【谈判须知前附表】。</w:t>
      </w:r>
    </w:p>
    <w:p w14:paraId="4295CA0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3" w:name="_Toc31297"/>
      <w:bookmarkStart w:id="34" w:name="_Toc955_WPSOffice_Level3"/>
      <w:bookmarkStart w:id="35" w:name="_Toc21695"/>
      <w:bookmarkStart w:id="36" w:name="_Toc8089_WPSOffice_Level3"/>
      <w:bookmarkStart w:id="37" w:name="_Toc31395"/>
      <w:r>
        <w:rPr>
          <w:rFonts w:hint="eastAsia" w:ascii="楷体_GB2312" w:hAnsi="楷体_GB2312" w:eastAsia="楷体_GB2312" w:cs="楷体_GB2312"/>
          <w:b/>
          <w:bCs/>
          <w:kern w:val="2"/>
          <w:sz w:val="32"/>
          <w:szCs w:val="32"/>
          <w:lang w:val="en-US" w:eastAsia="zh-CN" w:bidi="ar-SA"/>
        </w:rPr>
        <w:t>3.竞标人的资格要求</w:t>
      </w:r>
      <w:bookmarkEnd w:id="33"/>
      <w:bookmarkEnd w:id="34"/>
      <w:bookmarkEnd w:id="35"/>
      <w:bookmarkEnd w:id="36"/>
      <w:bookmarkEnd w:id="37"/>
    </w:p>
    <w:p w14:paraId="2ECBA2E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3.1竞标人是指响应谈判文件要求、参加竞争性磋商的法人、其他组织或者自然人。</w:t>
      </w:r>
    </w:p>
    <w:p w14:paraId="3251158E">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3.2竞标人应当符合【谈判须知前附表】规定的竞标人资格条件。</w:t>
      </w:r>
    </w:p>
    <w:p w14:paraId="220B335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3.3【谈判须知前附表】规定接受联合体形式的，竞标人除应符合上述资格条件的规定外，还应遵守以下规定： </w:t>
      </w:r>
    </w:p>
    <w:p w14:paraId="4E3C65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按照联合体分工承担相同工作的，应当按照资质等级较低的</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确定资质等级。</w:t>
      </w:r>
    </w:p>
    <w:p w14:paraId="20E0DC9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14:paraId="450243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不得再单独参加或者与其他竞标人组成新的联合体参加同一合同项下的采购活动。</w:t>
      </w:r>
    </w:p>
    <w:p w14:paraId="619E8439">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8" w:name="_Toc24112_WPSOffice_Level3"/>
      <w:bookmarkStart w:id="39" w:name="_Toc15386"/>
      <w:bookmarkStart w:id="40" w:name="_Toc18921"/>
      <w:bookmarkStart w:id="41" w:name="_Toc29322_WPSOffice_Level3"/>
      <w:bookmarkStart w:id="42" w:name="_Toc30474"/>
      <w:r>
        <w:rPr>
          <w:rFonts w:hint="eastAsia" w:ascii="楷体_GB2312" w:hAnsi="楷体_GB2312" w:eastAsia="楷体_GB2312" w:cs="楷体_GB2312"/>
          <w:b/>
          <w:bCs/>
          <w:kern w:val="2"/>
          <w:sz w:val="32"/>
          <w:szCs w:val="32"/>
          <w:lang w:val="en-US" w:eastAsia="zh-CN" w:bidi="ar-SA"/>
        </w:rPr>
        <w:t>4.谈判费用</w:t>
      </w:r>
      <w:bookmarkEnd w:id="38"/>
      <w:bookmarkEnd w:id="39"/>
      <w:bookmarkEnd w:id="40"/>
      <w:bookmarkEnd w:id="41"/>
      <w:bookmarkEnd w:id="42"/>
      <w:r>
        <w:rPr>
          <w:rFonts w:hint="eastAsia" w:ascii="楷体_GB2312" w:hAnsi="楷体_GB2312" w:eastAsia="楷体_GB2312" w:cs="楷体_GB2312"/>
          <w:b/>
          <w:bCs/>
          <w:kern w:val="2"/>
          <w:sz w:val="32"/>
          <w:szCs w:val="32"/>
          <w:lang w:val="en-US" w:eastAsia="zh-CN" w:bidi="ar-SA"/>
        </w:rPr>
        <w:t xml:space="preserve"> </w:t>
      </w:r>
    </w:p>
    <w:p w14:paraId="40D96BB4">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应自行承担所有与竞争性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活动有关的全部费用。</w:t>
      </w:r>
    </w:p>
    <w:p w14:paraId="6219190A">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3" w:name="_Toc19663_WPSOffice_Level2"/>
      <w:bookmarkStart w:id="44" w:name="_Toc4912_WPSOffice_Level2"/>
      <w:bookmarkStart w:id="45" w:name="_Toc34637766"/>
      <w:bookmarkStart w:id="46" w:name="_Toc24356"/>
      <w:bookmarkStart w:id="47" w:name="_Toc2404_WPSOffice_Level2"/>
      <w:bookmarkStart w:id="48" w:name="_Toc28758"/>
      <w:bookmarkStart w:id="49" w:name="_Toc24182"/>
      <w:bookmarkStart w:id="50" w:name="_Toc31080"/>
      <w:r>
        <w:rPr>
          <w:rFonts w:hint="eastAsia" w:ascii="黑体" w:hAnsi="黑体" w:eastAsia="黑体" w:cs="黑体"/>
          <w:b w:val="0"/>
          <w:bCs w:val="0"/>
          <w:kern w:val="2"/>
          <w:sz w:val="32"/>
          <w:szCs w:val="32"/>
          <w:lang w:val="en-US" w:eastAsia="zh-CN" w:bidi="ar-SA"/>
        </w:rPr>
        <w:t>二、谈判文件</w:t>
      </w:r>
      <w:bookmarkEnd w:id="43"/>
      <w:bookmarkEnd w:id="44"/>
      <w:bookmarkEnd w:id="45"/>
      <w:bookmarkEnd w:id="46"/>
      <w:bookmarkEnd w:id="47"/>
      <w:bookmarkEnd w:id="48"/>
      <w:bookmarkEnd w:id="49"/>
      <w:bookmarkEnd w:id="50"/>
    </w:p>
    <w:p w14:paraId="03F240B7">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1" w:name="_Toc29785_WPSOffice_Level3"/>
      <w:bookmarkStart w:id="52" w:name="_Toc18786_WPSOffice_Level3"/>
      <w:bookmarkStart w:id="53" w:name="_Toc14464"/>
      <w:bookmarkStart w:id="54" w:name="_Toc11983"/>
      <w:bookmarkStart w:id="55" w:name="_Toc1826"/>
      <w:r>
        <w:rPr>
          <w:rFonts w:hint="eastAsia" w:ascii="楷体_GB2312" w:hAnsi="楷体_GB2312" w:eastAsia="楷体_GB2312" w:cs="楷体_GB2312"/>
          <w:b/>
          <w:bCs/>
          <w:kern w:val="2"/>
          <w:sz w:val="32"/>
          <w:szCs w:val="32"/>
          <w:lang w:val="en-US" w:eastAsia="zh-CN" w:bidi="ar-SA"/>
        </w:rPr>
        <w:t>5.谈判文件的组成</w:t>
      </w:r>
      <w:bookmarkEnd w:id="51"/>
      <w:bookmarkEnd w:id="52"/>
      <w:bookmarkEnd w:id="53"/>
      <w:bookmarkEnd w:id="54"/>
      <w:bookmarkEnd w:id="55"/>
    </w:p>
    <w:p w14:paraId="2C284112">
      <w:pPr>
        <w:pStyle w:val="13"/>
        <w:widowControl w:val="0"/>
        <w:wordWrap/>
        <w:adjustRightInd w:val="0"/>
        <w:snapToGrid w:val="0"/>
        <w:spacing w:line="560" w:lineRule="exact"/>
        <w:ind w:firstLine="640" w:firstLineChars="200"/>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14:paraId="0EA6037B">
      <w:pPr>
        <w:pStyle w:val="13"/>
        <w:widowControl w:val="0"/>
        <w:numPr>
          <w:ilvl w:val="0"/>
          <w:numId w:val="3"/>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谈判公告</w:t>
      </w:r>
    </w:p>
    <w:p w14:paraId="6B368BA8">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14:paraId="4B89339D">
      <w:pPr>
        <w:pStyle w:val="13"/>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（3）服务需求</w:t>
      </w:r>
    </w:p>
    <w:p w14:paraId="0E669CA8">
      <w:pPr>
        <w:pStyle w:val="13"/>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14:paraId="30E8BA19">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5.2招标人在提交首次响应文件截止之日前对已发出的谈判文件进行的澄清或者修改，构成谈判文件的组成部分。</w:t>
      </w:r>
    </w:p>
    <w:p w14:paraId="55406645">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5.3谈判文件中，谈判小组根据与竞标人谈判情况可能实质性变动的内容见【谈判须知前附表】。对谈判文件作出的实质性变动是谈判文件的有效组成部分。</w:t>
      </w:r>
    </w:p>
    <w:p w14:paraId="1BFE2FC8">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6" w:name="_Toc25455_WPSOffice_Level3"/>
      <w:bookmarkStart w:id="57" w:name="_Toc9475"/>
      <w:bookmarkStart w:id="58" w:name="_Toc31604_WPSOffice_Level3"/>
      <w:bookmarkStart w:id="59" w:name="_Toc1317"/>
      <w:bookmarkStart w:id="60" w:name="_Toc18056"/>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6"/>
      <w:bookmarkEnd w:id="57"/>
      <w:bookmarkEnd w:id="58"/>
      <w:bookmarkEnd w:id="59"/>
      <w:bookmarkEnd w:id="60"/>
    </w:p>
    <w:p w14:paraId="171F3FDE">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6.1在提交首次响应文件截止之日前，招标人可以对已发出的谈判文件进行必要的澄清或者修改。</w:t>
      </w:r>
    </w:p>
    <w:p w14:paraId="0E340C24">
      <w:pPr>
        <w:pStyle w:val="1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招标人应当在提交首次响应文件截止之日3个工作日前，以书面或者电子邮件形式通知所有接收谈判文件的竞标人，不足3个工作日的，顺延竞标人提交首次响应文件截止时间。</w:t>
      </w:r>
    </w:p>
    <w:p w14:paraId="40B5D64C">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61" w:name="_Toc27004"/>
      <w:bookmarkStart w:id="62" w:name="_Toc4138_WPSOffice_Level3"/>
      <w:bookmarkStart w:id="63" w:name="_Toc25126"/>
      <w:bookmarkStart w:id="64" w:name="_Toc30"/>
      <w:bookmarkStart w:id="65" w:name="_Toc23387"/>
      <w:bookmarkStart w:id="66" w:name="_Toc6866_WPSOffice_Level3"/>
      <w:bookmarkStart w:id="67" w:name="_Toc34637767"/>
      <w:r>
        <w:rPr>
          <w:rFonts w:hint="eastAsia" w:ascii="楷体_GB2312" w:hAnsi="楷体_GB2312" w:eastAsia="楷体_GB2312" w:cs="楷体_GB2312"/>
          <w:b/>
          <w:bCs/>
          <w:kern w:val="2"/>
          <w:sz w:val="32"/>
          <w:szCs w:val="32"/>
          <w:lang w:val="en-US" w:eastAsia="zh-CN" w:bidi="ar-SA"/>
        </w:rPr>
        <w:t>7.谈判文件的询问或质疑</w:t>
      </w:r>
      <w:bookmarkEnd w:id="61"/>
      <w:bookmarkEnd w:id="62"/>
      <w:bookmarkEnd w:id="63"/>
      <w:bookmarkEnd w:id="64"/>
      <w:bookmarkEnd w:id="65"/>
      <w:bookmarkEnd w:id="66"/>
    </w:p>
    <w:p w14:paraId="0974602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7.1竞标人对谈判文件有疑问的，可以向招标人提出询问。</w:t>
      </w:r>
    </w:p>
    <w:p w14:paraId="64C8D54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7.2对谈判文件提出质疑的竞标人，应当在获取采购文件或者谈判文件公告期限届满之日起3个工作日内，按法律法规及其规章的规定向招标人书面提出质疑。</w:t>
      </w:r>
    </w:p>
    <w:p w14:paraId="6651B79C">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8" w:name="_Toc6375"/>
      <w:bookmarkStart w:id="69" w:name="_Toc28815"/>
      <w:bookmarkStart w:id="70" w:name="_Toc23235_WPSOffice_Level2"/>
      <w:bookmarkStart w:id="71" w:name="_Toc16902"/>
      <w:bookmarkStart w:id="72" w:name="_Toc5732_WPSOffice_Level2"/>
      <w:bookmarkStart w:id="73" w:name="_Toc955_WPSOffice_Level2"/>
      <w:r>
        <w:rPr>
          <w:rFonts w:hint="eastAsia" w:ascii="黑体" w:hAnsi="黑体" w:eastAsia="黑体" w:cs="黑体"/>
          <w:kern w:val="2"/>
          <w:sz w:val="32"/>
          <w:szCs w:val="32"/>
          <w:lang w:val="en-US" w:eastAsia="zh-CN" w:bidi="ar-SA"/>
        </w:rPr>
        <w:t>三、响应文件</w:t>
      </w:r>
      <w:bookmarkEnd w:id="67"/>
      <w:bookmarkEnd w:id="68"/>
      <w:bookmarkEnd w:id="69"/>
      <w:bookmarkEnd w:id="70"/>
      <w:bookmarkEnd w:id="71"/>
      <w:bookmarkEnd w:id="72"/>
      <w:bookmarkEnd w:id="73"/>
    </w:p>
    <w:p w14:paraId="7042540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4" w:name="_Toc2475"/>
      <w:bookmarkStart w:id="75" w:name="_Toc22063"/>
      <w:bookmarkStart w:id="76" w:name="_Toc17983"/>
      <w:bookmarkStart w:id="77" w:name="_Toc10843_WPSOffice_Level3"/>
      <w:bookmarkStart w:id="78" w:name="_Toc31800"/>
      <w:bookmarkStart w:id="79" w:name="_Toc1096_WPSOffice_Level3"/>
      <w:r>
        <w:rPr>
          <w:rFonts w:hint="eastAsia" w:ascii="楷体_GB2312" w:hAnsi="楷体_GB2312" w:eastAsia="楷体_GB2312" w:cs="楷体_GB2312"/>
          <w:b/>
          <w:bCs/>
          <w:kern w:val="2"/>
          <w:sz w:val="32"/>
          <w:szCs w:val="32"/>
          <w:lang w:val="en-US" w:eastAsia="zh-CN" w:bidi="ar-SA"/>
        </w:rPr>
        <w:t>8.一般要求</w:t>
      </w:r>
      <w:bookmarkEnd w:id="74"/>
      <w:bookmarkEnd w:id="75"/>
      <w:bookmarkEnd w:id="76"/>
      <w:bookmarkEnd w:id="77"/>
      <w:bookmarkEnd w:id="78"/>
      <w:bookmarkEnd w:id="79"/>
    </w:p>
    <w:p w14:paraId="54F407D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竞标人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竞标人承担。</w:t>
      </w:r>
    </w:p>
    <w:p w14:paraId="3B3909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竞标人提交的响应文件及竞标人与招标人就有关谈判的所有来往函电均使用中文。附有外文资料的，须翻译成中文并加盖竞标人公章，若翻译的中文资料与外文资料存在差异和矛盾，则以中文资料为准。其准确性由竞标人负责。</w:t>
      </w:r>
    </w:p>
    <w:p w14:paraId="38C9DCF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14:paraId="0024A2A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8.4响应文件应采用书面形式，电报、传真、电子邮件形式的响应文件概不接受。</w:t>
      </w:r>
    </w:p>
    <w:p w14:paraId="2A381FF7">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8.5竞标人应按谈判文件中提供的响应文件格式进行填写。</w:t>
      </w:r>
    </w:p>
    <w:p w14:paraId="6348C69A">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0" w:name="_Toc12007"/>
      <w:bookmarkStart w:id="81" w:name="_Toc14527_WPSOffice_Level3"/>
      <w:bookmarkStart w:id="82" w:name="_Toc20423_WPSOffice_Level3"/>
      <w:bookmarkStart w:id="83" w:name="_Toc1367"/>
      <w:bookmarkStart w:id="84" w:name="_Toc16030"/>
      <w:r>
        <w:rPr>
          <w:rFonts w:hint="eastAsia" w:ascii="楷体_GB2312" w:hAnsi="楷体_GB2312" w:eastAsia="楷体_GB2312" w:cs="楷体_GB2312"/>
          <w:b/>
          <w:bCs/>
          <w:kern w:val="2"/>
          <w:sz w:val="32"/>
          <w:szCs w:val="32"/>
          <w:lang w:val="en-US" w:eastAsia="zh-CN" w:bidi="ar-SA"/>
        </w:rPr>
        <w:t>9.报价要求</w:t>
      </w:r>
      <w:bookmarkEnd w:id="80"/>
      <w:bookmarkEnd w:id="81"/>
      <w:bookmarkEnd w:id="82"/>
      <w:bookmarkEnd w:id="83"/>
      <w:bookmarkEnd w:id="84"/>
    </w:p>
    <w:p w14:paraId="43EB81B3">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9.1竞标人应当根据谈判文件报价；</w:t>
      </w:r>
    </w:p>
    <w:p w14:paraId="6E84947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9.2在首次报价表、最后报价表填写报价时应注意下列要求：</w:t>
      </w:r>
    </w:p>
    <w:p w14:paraId="673451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color w:val="auto"/>
          <w:kern w:val="2"/>
          <w:sz w:val="32"/>
          <w:szCs w:val="32"/>
          <w:highlight w:val="yellow"/>
          <w:lang w:val="en-US" w:eastAsia="zh-CN" w:bidi="ar-SA"/>
        </w:rPr>
        <w:t>要求的</w:t>
      </w:r>
      <w:r>
        <w:rPr>
          <w:rFonts w:hint="eastAsia" w:ascii="仿宋_GB2312" w:hAnsi="仿宋_GB2312" w:eastAsia="仿宋_GB2312" w:cs="仿宋_GB2312"/>
          <w:color w:val="auto"/>
          <w:kern w:val="2"/>
          <w:sz w:val="32"/>
          <w:szCs w:val="32"/>
          <w:highlight w:val="yellow"/>
          <w:u w:val="single"/>
          <w:lang w:val="en-US" w:eastAsia="zh-CN" w:bidi="ar-SA"/>
        </w:rPr>
        <w:t>锅炉维修、更换期间的一切</w:t>
      </w:r>
      <w:r>
        <w:rPr>
          <w:rFonts w:hint="eastAsia" w:ascii="仿宋_GB2312" w:hAnsi="仿宋_GB2312" w:eastAsia="仿宋_GB2312" w:cs="仿宋_GB2312"/>
          <w:color w:val="auto"/>
          <w:kern w:val="2"/>
          <w:sz w:val="32"/>
          <w:szCs w:val="32"/>
          <w:highlight w:val="yellow"/>
          <w:lang w:val="en-US" w:eastAsia="zh-CN" w:bidi="ar-SA"/>
        </w:rPr>
        <w:t>服务的费用</w:t>
      </w:r>
      <w:r>
        <w:rPr>
          <w:rFonts w:hint="eastAsia" w:ascii="仿宋_GB2312" w:hAnsi="仿宋_GB2312" w:eastAsia="仿宋_GB2312" w:cs="仿宋_GB2312"/>
          <w:kern w:val="2"/>
          <w:sz w:val="32"/>
          <w:szCs w:val="32"/>
          <w:lang w:val="en-US" w:eastAsia="zh-CN" w:bidi="ar-SA"/>
        </w:rPr>
        <w:t>。</w:t>
      </w:r>
    </w:p>
    <w:p w14:paraId="3DA6077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（2）所有根据合同或其它原因应由竞标人交纳和支付的税款和费用。</w:t>
      </w:r>
    </w:p>
    <w:p w14:paraId="351024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（3）竞标人报价应为完成本竞争性谈判文件中所要求的货物/服务/工程所应包括内容的所有价格。</w:t>
      </w:r>
    </w:p>
    <w:p w14:paraId="1A23BB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竞标人</w:t>
      </w:r>
      <w:r>
        <w:rPr>
          <w:rFonts w:hint="eastAsia" w:ascii="仿宋_GB2312" w:hAnsi="仿宋_GB2312" w:eastAsia="仿宋_GB2312" w:cs="仿宋_GB2312"/>
          <w:kern w:val="2"/>
          <w:sz w:val="32"/>
          <w:szCs w:val="32"/>
          <w:lang w:val="en-US" w:eastAsia="zh-CN" w:bidi="ar-SA"/>
        </w:rPr>
        <w:t>的每次报价均不得超过项目限价（若有），否则视为无效响应。项目限价见【谈判须知前附表】。</w:t>
      </w:r>
    </w:p>
    <w:p w14:paraId="2D9AEA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9.4竞标人提交的最后报价在合同执行过程中是固定不变的，不得以任何理由予以变更。以可变动价格提交的报价将被认为是非实质响应而被拒绝。</w:t>
      </w:r>
    </w:p>
    <w:p w14:paraId="3120EE3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9.5谈判报价为总价。竞标人须按要求填写谈判总报价，最后报价不得出现两个或两个以上的报价方案。 </w:t>
      </w:r>
    </w:p>
    <w:p w14:paraId="071B1A6E">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14:paraId="27FAC4B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5" w:name="_Toc30839"/>
      <w:bookmarkStart w:id="86" w:name="_Toc24956_WPSOffice_Level3"/>
      <w:bookmarkStart w:id="87" w:name="_Toc19609_WPSOffice_Level3"/>
      <w:bookmarkStart w:id="88" w:name="_Toc30481"/>
      <w:bookmarkStart w:id="89" w:name="_Toc31734"/>
      <w:r>
        <w:rPr>
          <w:rFonts w:hint="eastAsia" w:ascii="楷体_GB2312" w:hAnsi="楷体_GB2312" w:eastAsia="楷体_GB2312" w:cs="楷体_GB2312"/>
          <w:b/>
          <w:bCs/>
          <w:kern w:val="2"/>
          <w:sz w:val="32"/>
          <w:szCs w:val="32"/>
          <w:lang w:val="en-US" w:eastAsia="zh-CN" w:bidi="ar-SA"/>
        </w:rPr>
        <w:t>10.保证金</w:t>
      </w:r>
      <w:bookmarkEnd w:id="85"/>
      <w:bookmarkEnd w:id="86"/>
      <w:bookmarkEnd w:id="87"/>
      <w:bookmarkEnd w:id="88"/>
      <w:bookmarkEnd w:id="89"/>
    </w:p>
    <w:p w14:paraId="29585A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竞标人应按【谈判须知前附表】的规定，在提交响应文件的截止时间前提交不少于本谈判文件规定的人民币金额的谈判保证金。谈判保证金应当以转账、支票、本票或者金融机构、担保机构出具的保函等非现金形式提交。竞标人未按照谈判文件要求提交谈判保证金的，视为非实质性响应，其响应文件不予接受。谈判保证金所有递交方式均以到账时间为准。</w:t>
      </w:r>
    </w:p>
    <w:p w14:paraId="6579184C">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竞标人为联合体的，可以由联合体中的一方或者共同交纳保证金，其交纳的保证金，对联合体各方均具有约束力。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14:paraId="1FC31B98">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14:paraId="30137E0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（1）成交竞标人的保证金，在合同签订后5个工作日内退还，但因竞标人自身原因导致无法退还的除外。</w:t>
      </w:r>
    </w:p>
    <w:p w14:paraId="392D9AA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（2）未成交竞标人的保证金，在成交通知书发出后5个工作日内退还。</w:t>
      </w:r>
    </w:p>
    <w:p w14:paraId="12D4E9D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（3）终止竞争性谈判活动的，在发布项目终止公告后5个工作日内退还。</w:t>
      </w:r>
    </w:p>
    <w:p w14:paraId="7911C2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w:t>
      </w:r>
    </w:p>
    <w:p w14:paraId="3AA3697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（1）竞标人在提交响应文件截止时间后撤回响应文件的；</w:t>
      </w:r>
    </w:p>
    <w:p w14:paraId="4E780A3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（2）竞标人在响应文件中提供虚假材料的；</w:t>
      </w:r>
    </w:p>
    <w:p w14:paraId="52643BF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（3）除因不可抗力或谈判文件认可的情形以外，成交竞标人不与招标人签订合同的； </w:t>
      </w:r>
    </w:p>
    <w:p w14:paraId="64BC260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（4）竞标人与招标人、其他竞标人或者机构恶意串通的； </w:t>
      </w:r>
    </w:p>
    <w:p w14:paraId="5FE6933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14:paraId="6B1DC335">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0" w:name="_Toc5897"/>
      <w:bookmarkStart w:id="91" w:name="_Toc4945_WPSOffice_Level3"/>
      <w:bookmarkStart w:id="92" w:name="_Toc14144"/>
      <w:bookmarkStart w:id="93" w:name="_Toc8338"/>
      <w:bookmarkStart w:id="94" w:name="_Toc18765_WPSOffice_Level3"/>
      <w:r>
        <w:rPr>
          <w:rFonts w:hint="eastAsia" w:ascii="楷体_GB2312" w:hAnsi="楷体_GB2312" w:eastAsia="楷体_GB2312" w:cs="楷体_GB2312"/>
          <w:b/>
          <w:bCs/>
          <w:kern w:val="2"/>
          <w:sz w:val="32"/>
          <w:szCs w:val="32"/>
          <w:lang w:val="en-US" w:eastAsia="zh-CN" w:bidi="ar-SA"/>
        </w:rPr>
        <w:t>11.响应文件的组成</w:t>
      </w:r>
      <w:bookmarkEnd w:id="90"/>
      <w:bookmarkEnd w:id="91"/>
      <w:bookmarkEnd w:id="92"/>
      <w:bookmarkEnd w:id="93"/>
      <w:bookmarkEnd w:id="94"/>
    </w:p>
    <w:p w14:paraId="63A0B5F0">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14:paraId="24267BE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竞标人应提交相关证明材料，作为其参加谈判和成交后有能力履行合同的证明。编写的谈判响应文件须包括以下内容（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14:paraId="1F1C0EA7">
      <w:pPr>
        <w:widowControl w:val="0"/>
        <w:wordWrap/>
        <w:adjustRightInd w:val="0"/>
        <w:snapToGrid w:val="0"/>
        <w:spacing w:line="560" w:lineRule="exact"/>
        <w:ind w:firstLine="640" w:firstLineChars="200"/>
        <w:jc w:val="left"/>
        <w:textAlignment w:val="auto"/>
        <w:outlineLvl w:val="4"/>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14:paraId="73FF608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14:paraId="0099BD5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14:paraId="78DD6C3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14:paraId="314D3CA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4、竞标人承诺函</w:t>
      </w:r>
    </w:p>
    <w:p w14:paraId="08451FB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5、竞标人诚信承诺书</w:t>
      </w:r>
    </w:p>
    <w:p w14:paraId="4E04552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6、竞标人资格证明文件</w:t>
      </w:r>
    </w:p>
    <w:p w14:paraId="50615CA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7、财务状况</w:t>
      </w:r>
      <w:r>
        <w:rPr>
          <w:rFonts w:hint="eastAsia" w:ascii="仿宋_GB2312" w:hAnsi="仿宋_GB2312" w:eastAsia="仿宋_GB2312" w:cs="仿宋_GB2312"/>
          <w:kern w:val="2"/>
          <w:sz w:val="32"/>
          <w:szCs w:val="32"/>
          <w:lang w:val="en-US" w:eastAsia="zh-CN" w:bidi="ar-SA"/>
        </w:rPr>
        <w:t>审计报告</w:t>
      </w:r>
    </w:p>
    <w:p w14:paraId="23672D7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14:paraId="23E2E52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r>
        <w:rPr>
          <w:rFonts w:hint="eastAsia" w:ascii="仿宋_GB2312" w:hAnsi="仿宋_GB2312" w:eastAsia="仿宋_GB2312" w:cs="仿宋_GB2312"/>
          <w:kern w:val="2"/>
          <w:sz w:val="32"/>
          <w:szCs w:val="32"/>
          <w:lang w:val="en-US" w:eastAsia="zh-CN" w:bidi="ar-SA"/>
        </w:rPr>
        <w:t>若要求</w:t>
      </w:r>
      <w:r>
        <w:rPr>
          <w:rFonts w:hint="eastAsia" w:ascii="仿宋_GB2312" w:hAnsi="仿宋_GB2312" w:eastAsia="仿宋_GB2312" w:cs="仿宋_GB2312"/>
          <w:kern w:val="2"/>
          <w:sz w:val="32"/>
          <w:szCs w:val="32"/>
          <w:lang w:val="zh-CN" w:eastAsia="zh-CN" w:bidi="ar-SA"/>
        </w:rPr>
        <w:t>）</w:t>
      </w:r>
    </w:p>
    <w:p w14:paraId="49711C57">
      <w:pPr>
        <w:widowControl w:val="0"/>
        <w:wordWrap/>
        <w:adjustRightInd w:val="0"/>
        <w:snapToGrid w:val="0"/>
        <w:spacing w:line="560" w:lineRule="exact"/>
        <w:ind w:firstLine="640" w:firstLineChars="200"/>
        <w:jc w:val="left"/>
        <w:textAlignment w:val="auto"/>
        <w:outlineLvl w:val="4"/>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11.1.2有效性、完整性、响应程度审查</w:t>
      </w:r>
      <w:r>
        <w:rPr>
          <w:rFonts w:hint="eastAsia" w:ascii="仿宋_GB2312" w:hAnsi="仿宋_GB2312" w:eastAsia="仿宋_GB2312" w:cs="仿宋_GB2312"/>
          <w:kern w:val="2"/>
          <w:sz w:val="32"/>
          <w:szCs w:val="32"/>
          <w:highlight w:val="none"/>
          <w:lang w:val="zh-CN" w:eastAsia="zh-CN" w:bidi="ar-SA"/>
        </w:rPr>
        <w:t>部分</w:t>
      </w:r>
    </w:p>
    <w:p w14:paraId="66E69DD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1、谈判首次报价表</w:t>
      </w:r>
    </w:p>
    <w:p w14:paraId="177B3C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2、分项报价表</w:t>
      </w:r>
    </w:p>
    <w:p w14:paraId="5AC7A5C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zh-CN" w:eastAsia="zh-CN" w:bidi="ar-SA"/>
        </w:rPr>
        <w:t>、具备履行合同所必须的设备和专业技术能力证明</w:t>
      </w:r>
    </w:p>
    <w:p w14:paraId="14F8B59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、竞标人认为在其他方面有必要说明的事项</w:t>
      </w:r>
    </w:p>
    <w:p w14:paraId="2EE044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、其他证明材料</w:t>
      </w:r>
    </w:p>
    <w:p w14:paraId="256E931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竞标人须按上述内容、顺序和格式编制响应文件，并按要求编制目录、页码、</w:t>
      </w:r>
      <w:r>
        <w:rPr>
          <w:rFonts w:hint="eastAsia" w:ascii="仿宋_GB2312" w:hAnsi="仿宋_GB2312" w:eastAsia="仿宋_GB2312" w:cs="仿宋_GB2312"/>
          <w:kern w:val="2"/>
          <w:sz w:val="32"/>
          <w:szCs w:val="32"/>
          <w:lang w:val="en-US" w:eastAsia="zh-CN" w:bidi="ar-SA"/>
        </w:rPr>
        <w:t>侧签</w:t>
      </w:r>
      <w:r>
        <w:rPr>
          <w:rFonts w:hint="eastAsia" w:ascii="仿宋_GB2312" w:hAnsi="仿宋_GB2312" w:eastAsia="仿宋_GB2312" w:cs="仿宋_GB2312"/>
          <w:kern w:val="2"/>
          <w:sz w:val="32"/>
          <w:szCs w:val="32"/>
          <w:lang w:val="zh-CN" w:eastAsia="zh-CN" w:bidi="ar-SA"/>
        </w:rPr>
        <w:t>，并保证所提供的全部资料真实可信，自愿承担相应责任。</w:t>
      </w:r>
    </w:p>
    <w:p w14:paraId="3D1B740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11.2在谈判过程中，竞标人根据谈判小组书面形式要求提交的最后报价是响应文件的有效组成部分。</w:t>
      </w:r>
    </w:p>
    <w:p w14:paraId="715A6E5D">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5" w:name="_Toc14930_WPSOffice_Level3"/>
      <w:bookmarkStart w:id="96" w:name="_Toc7682"/>
      <w:bookmarkStart w:id="97" w:name="_Toc26621"/>
      <w:bookmarkStart w:id="98" w:name="_Toc11674"/>
      <w:bookmarkStart w:id="99" w:name="_Toc3694_WPSOffice_Level3"/>
      <w:r>
        <w:rPr>
          <w:rFonts w:hint="eastAsia" w:ascii="楷体_GB2312" w:hAnsi="楷体_GB2312" w:eastAsia="楷体_GB2312" w:cs="楷体_GB2312"/>
          <w:b/>
          <w:bCs/>
          <w:kern w:val="2"/>
          <w:sz w:val="32"/>
          <w:szCs w:val="32"/>
          <w:lang w:val="en-US" w:eastAsia="zh-CN" w:bidi="ar-SA"/>
        </w:rPr>
        <w:t>12.响应文件有效期</w:t>
      </w:r>
      <w:bookmarkEnd w:id="95"/>
      <w:bookmarkEnd w:id="96"/>
      <w:bookmarkEnd w:id="97"/>
      <w:bookmarkEnd w:id="98"/>
      <w:bookmarkEnd w:id="99"/>
    </w:p>
    <w:p w14:paraId="717111E6">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响应文件有效期见【谈判须知前附表】，在此期间响应文件对竞标人具有法律约束力，从提交首次响应文件截止时间之日起计算。响应文件有效期不足的将被视为无效响应。</w:t>
      </w:r>
    </w:p>
    <w:p w14:paraId="111EC31F">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00" w:name="_Toc20265"/>
      <w:bookmarkStart w:id="101" w:name="_Toc8507_WPSOffice_Level3"/>
      <w:bookmarkStart w:id="102" w:name="_Toc5593"/>
      <w:bookmarkStart w:id="103" w:name="_Toc31682_WPSOffice_Level3"/>
      <w:bookmarkStart w:id="104" w:name="_Toc21033"/>
      <w:r>
        <w:rPr>
          <w:rFonts w:hint="eastAsia" w:ascii="楷体_GB2312" w:hAnsi="楷体_GB2312" w:eastAsia="楷体_GB2312" w:cs="楷体_GB2312"/>
          <w:b/>
          <w:bCs/>
          <w:kern w:val="2"/>
          <w:sz w:val="32"/>
          <w:szCs w:val="32"/>
          <w:lang w:val="en-US" w:eastAsia="zh-CN" w:bidi="ar-SA"/>
        </w:rPr>
        <w:t>13.响应文件的签署及规定</w:t>
      </w:r>
      <w:bookmarkEnd w:id="100"/>
      <w:bookmarkEnd w:id="101"/>
      <w:bookmarkEnd w:id="102"/>
      <w:bookmarkEnd w:id="103"/>
      <w:bookmarkEnd w:id="104"/>
    </w:p>
    <w:p w14:paraId="46A7470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竞标人代表可为竞标人法定代表人(非法人组织为负责人或合伙人、个体工商户为负责人，谈判文件统称单位负责人)；竞标人代表不是竞标人的法定代表人（单位负责人）的，应提供法定代表人（单位负责人）授权委托书。</w:t>
      </w:r>
    </w:p>
    <w:p w14:paraId="12A6CEB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13.2 </w:t>
      </w:r>
      <w:r>
        <w:rPr>
          <w:rFonts w:hint="eastAsia" w:ascii="仿宋_GB2312" w:hAnsi="仿宋_GB2312" w:eastAsia="仿宋_GB2312" w:cs="仿宋_GB2312"/>
          <w:kern w:val="2"/>
          <w:sz w:val="32"/>
          <w:szCs w:val="32"/>
          <w:lang w:val="zh-CN" w:eastAsia="zh-CN" w:bidi="ar-SA"/>
        </w:rPr>
        <w:t>竞标人应按照谈判文件所提供的文件格式，分别填写谈判文件</w:t>
      </w:r>
      <w:r>
        <w:rPr>
          <w:rFonts w:hint="eastAsia" w:ascii="仿宋_GB2312" w:hAnsi="仿宋_GB2312" w:eastAsia="仿宋_GB2312" w:cs="仿宋_GB2312"/>
          <w:kern w:val="2"/>
          <w:sz w:val="32"/>
          <w:szCs w:val="32"/>
          <w:highlight w:val="none"/>
          <w:lang w:val="zh-CN" w:eastAsia="zh-CN" w:bidi="ar-SA"/>
        </w:rPr>
        <w:t>第四部分</w:t>
      </w:r>
      <w:r>
        <w:rPr>
          <w:rFonts w:hint="eastAsia" w:ascii="仿宋_GB2312" w:hAnsi="仿宋_GB2312" w:eastAsia="仿宋_GB2312" w:cs="仿宋_GB2312"/>
          <w:kern w:val="2"/>
          <w:sz w:val="32"/>
          <w:szCs w:val="32"/>
          <w:lang w:val="zh-CN" w:eastAsia="zh-CN" w:bidi="ar-SA"/>
        </w:rPr>
        <w:t>的内容，应分别注明所提供货物的名称、技术配置及参数、数量和价格等内容；谈判文件要求签字、盖章的地方必须由竞标人的法定代表人或委托代理人签字、盖章。</w:t>
      </w:r>
    </w:p>
    <w:p w14:paraId="289D89B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13.3响应文件正本一份，副本份数、响应文件电子文档见【谈判须知前附表】；要求正副本的纸质响应文件须清楚地注明“正本”或“副本”的字样。</w:t>
      </w:r>
      <w:r>
        <w:rPr>
          <w:rFonts w:hint="eastAsia" w:ascii="仿宋_GB2312" w:hAnsi="仿宋_GB2312" w:eastAsia="仿宋_GB2312" w:cs="仿宋_GB2312"/>
          <w:kern w:val="2"/>
          <w:sz w:val="32"/>
          <w:szCs w:val="32"/>
          <w:lang w:val="zh-CN" w:eastAsia="zh-CN" w:bidi="ar-SA"/>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p>
    <w:p w14:paraId="6E43B63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13.4 响应</w:t>
      </w:r>
      <w:r>
        <w:rPr>
          <w:rFonts w:hint="eastAsia" w:ascii="仿宋_GB2312" w:hAnsi="仿宋_GB2312" w:eastAsia="仿宋_GB2312" w:cs="仿宋_GB2312"/>
          <w:kern w:val="2"/>
          <w:sz w:val="32"/>
          <w:szCs w:val="32"/>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59A902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13.5 响应文件不得行间插字，若有修改错漏处，应由竞标人法定代表人或者其委托代理人签字、加盖公章。否则，将导致响应文件无效。</w:t>
      </w:r>
      <w:r>
        <w:rPr>
          <w:rFonts w:hint="eastAsia" w:ascii="仿宋_GB2312" w:hAnsi="仿宋_GB2312" w:eastAsia="仿宋_GB2312" w:cs="仿宋_GB2312"/>
          <w:kern w:val="2"/>
          <w:sz w:val="32"/>
          <w:szCs w:val="32"/>
          <w:lang w:val="zh-CN" w:eastAsia="zh-CN" w:bidi="ar-SA"/>
        </w:rPr>
        <w:t xml:space="preserve"> </w:t>
      </w:r>
    </w:p>
    <w:p w14:paraId="640FF97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13.6在谈判过程中，竞标人按谈判文件规定和谈判小组要求提交的最后报价，须用不褪色材料书写，并经竞标人代表签字，或者加盖竞标人单位公章。否则，将导致响应文件无效。</w:t>
      </w:r>
    </w:p>
    <w:p w14:paraId="32772FE2">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13.7竞标人无论成交与否，其响应文件不予退还。</w:t>
      </w:r>
    </w:p>
    <w:p w14:paraId="3577766F">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105" w:name="_Toc24112_WPSOffice_Level2"/>
      <w:bookmarkStart w:id="106" w:name="_Toc31349_WPSOffice_Level2"/>
      <w:bookmarkStart w:id="107" w:name="_Toc2069"/>
      <w:bookmarkStart w:id="108" w:name="_Toc30575"/>
      <w:bookmarkStart w:id="109" w:name="_Toc8361"/>
      <w:bookmarkStart w:id="110" w:name="_Toc34637768"/>
      <w:bookmarkStart w:id="111" w:name="_Toc32627_WPSOffice_Level2"/>
      <w:bookmarkStart w:id="112" w:name="_Toc25869"/>
      <w:r>
        <w:rPr>
          <w:rFonts w:hint="eastAsia" w:ascii="黑体" w:hAnsi="黑体" w:eastAsia="黑体" w:cs="黑体"/>
          <w:b w:val="0"/>
          <w:bCs w:val="0"/>
          <w:kern w:val="2"/>
          <w:sz w:val="32"/>
          <w:szCs w:val="32"/>
          <w:lang w:val="en-US" w:eastAsia="zh-CN" w:bidi="ar-SA"/>
        </w:rPr>
        <w:t>四、响应文件的递交</w:t>
      </w:r>
      <w:bookmarkEnd w:id="105"/>
      <w:bookmarkEnd w:id="106"/>
      <w:bookmarkEnd w:id="107"/>
      <w:bookmarkEnd w:id="108"/>
      <w:bookmarkEnd w:id="109"/>
      <w:bookmarkEnd w:id="110"/>
      <w:bookmarkEnd w:id="111"/>
      <w:bookmarkEnd w:id="112"/>
    </w:p>
    <w:p w14:paraId="4E57E912">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3" w:name="_Toc25994"/>
      <w:bookmarkStart w:id="114" w:name="_Toc4459"/>
      <w:bookmarkStart w:id="115" w:name="_Toc20825_WPSOffice_Level3"/>
      <w:bookmarkStart w:id="116" w:name="_Toc23622_WPSOffice_Level3"/>
      <w:bookmarkStart w:id="117" w:name="_Toc6095"/>
      <w:r>
        <w:rPr>
          <w:rFonts w:hint="eastAsia" w:ascii="楷体_GB2312" w:hAnsi="楷体_GB2312" w:eastAsia="楷体_GB2312" w:cs="楷体_GB2312"/>
          <w:b/>
          <w:bCs/>
          <w:kern w:val="2"/>
          <w:sz w:val="32"/>
          <w:szCs w:val="32"/>
          <w:lang w:val="en-US" w:eastAsia="zh-CN" w:bidi="ar-SA"/>
        </w:rPr>
        <w:t>14.响应文件的密封和标记</w:t>
      </w:r>
      <w:bookmarkEnd w:id="113"/>
      <w:bookmarkEnd w:id="114"/>
      <w:bookmarkEnd w:id="115"/>
      <w:bookmarkEnd w:id="116"/>
      <w:bookmarkEnd w:id="117"/>
    </w:p>
    <w:p w14:paraId="04B56A7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14.1响应文件应密封包装，以保证其响应文件信息在提交首次响应文件截止时间前不被透露。</w:t>
      </w:r>
    </w:p>
    <w:p w14:paraId="5CB417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kern w:val="2"/>
          <w:sz w:val="32"/>
          <w:szCs w:val="32"/>
          <w:lang w:val="en-US" w:eastAsia="zh-CN" w:bidi="ar-SA"/>
        </w:rPr>
        <w:t>，密封袋上应写明的内容见【谈判须知前附表】</w:t>
      </w:r>
    </w:p>
    <w:p w14:paraId="77E7B577">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8" w:name="_Toc1241"/>
      <w:bookmarkStart w:id="119" w:name="_Toc18048"/>
      <w:bookmarkStart w:id="120" w:name="_Toc7845_WPSOffice_Level3"/>
      <w:bookmarkStart w:id="121" w:name="_Toc13231_WPSOffice_Level3"/>
      <w:bookmarkStart w:id="122" w:name="_Toc11355"/>
      <w:r>
        <w:rPr>
          <w:rFonts w:hint="eastAsia" w:ascii="楷体_GB2312" w:hAnsi="楷体_GB2312" w:eastAsia="楷体_GB2312" w:cs="楷体_GB2312"/>
          <w:b/>
          <w:bCs/>
          <w:kern w:val="2"/>
          <w:sz w:val="32"/>
          <w:szCs w:val="32"/>
          <w:lang w:val="en-US" w:eastAsia="zh-CN" w:bidi="ar-SA"/>
        </w:rPr>
        <w:t>15.响应文件的递交与接收</w:t>
      </w:r>
      <w:bookmarkEnd w:id="118"/>
      <w:bookmarkEnd w:id="119"/>
      <w:bookmarkEnd w:id="120"/>
      <w:bookmarkEnd w:id="121"/>
      <w:bookmarkEnd w:id="122"/>
    </w:p>
    <w:p w14:paraId="0128CBD3">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竞标人应在【谈判须知前附表】规定的时间和地点提交响应文件。在截止时间后送达的响应文件为无效文件，招标人拒收逾期送达的响应文件。</w:t>
      </w:r>
    </w:p>
    <w:p w14:paraId="79FB3D72">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23" w:name="_Toc17912"/>
      <w:bookmarkStart w:id="124" w:name="_Toc19521_WPSOffice_Level3"/>
      <w:bookmarkStart w:id="125" w:name="_Toc5063_WPSOffice_Level3"/>
      <w:bookmarkStart w:id="126" w:name="_Toc31959"/>
      <w:bookmarkStart w:id="127" w:name="_Toc1869"/>
      <w:r>
        <w:rPr>
          <w:rFonts w:hint="eastAsia" w:ascii="楷体_GB2312" w:hAnsi="楷体_GB2312" w:eastAsia="楷体_GB2312" w:cs="楷体_GB2312"/>
          <w:b/>
          <w:bCs/>
          <w:kern w:val="2"/>
          <w:sz w:val="32"/>
          <w:szCs w:val="32"/>
          <w:lang w:val="en-US" w:eastAsia="zh-CN" w:bidi="ar-SA"/>
        </w:rPr>
        <w:t>16.响应文件的</w:t>
      </w:r>
      <w:r>
        <w:rPr>
          <w:rFonts w:hint="eastAsia" w:ascii="楷体_GB2312" w:hAnsi="楷体_GB2312" w:eastAsia="楷体_GB2312" w:cs="楷体_GB2312"/>
          <w:b/>
          <w:bCs/>
          <w:kern w:val="2"/>
          <w:sz w:val="32"/>
          <w:szCs w:val="32"/>
          <w:lang w:val="zh-CN" w:eastAsia="zh-CN" w:bidi="ar-SA"/>
        </w:rPr>
        <w:t>补充、修改或者撤回</w:t>
      </w:r>
      <w:bookmarkEnd w:id="123"/>
      <w:bookmarkEnd w:id="124"/>
      <w:bookmarkEnd w:id="125"/>
      <w:bookmarkEnd w:id="126"/>
      <w:bookmarkEnd w:id="127"/>
    </w:p>
    <w:p w14:paraId="040233D2">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28" w:name="_Toc32435"/>
      <w:bookmarkStart w:id="129" w:name="_Toc34637769"/>
      <w:r>
        <w:rPr>
          <w:rFonts w:hint="eastAsia" w:ascii="仿宋_GB2312" w:hAnsi="仿宋_GB2312" w:eastAsia="仿宋_GB2312" w:cs="仿宋_GB2312"/>
          <w:kern w:val="2"/>
          <w:sz w:val="32"/>
          <w:szCs w:val="32"/>
          <w:lang w:val="en-US" w:eastAsia="zh-CN" w:bidi="ar-SA"/>
        </w:rPr>
        <w:t>竞标人在谈判截止时间前，可以对所递交的响应文件进行补充、修改或者撤回，并书面通知招标人。补充、修改的内容作为响应文件的组成部分，补充、修改的内容与响应文件不一致的，以补充、修改的内容为准。</w:t>
      </w:r>
      <w:bookmarkEnd w:id="128"/>
    </w:p>
    <w:p w14:paraId="6D174F90">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bookmarkStart w:id="130" w:name="_Toc31993"/>
      <w:bookmarkStart w:id="131" w:name="_Toc29785_WPSOffice_Level2"/>
      <w:bookmarkStart w:id="132" w:name="_Toc10968"/>
      <w:bookmarkStart w:id="133" w:name="_Toc25721_WPSOffice_Level2"/>
      <w:bookmarkStart w:id="134" w:name="_Toc18610_WPSOffice_Level2"/>
      <w:bookmarkStart w:id="135" w:name="_Toc16759"/>
      <w:bookmarkStart w:id="136" w:name="_Toc12974"/>
      <w:r>
        <w:rPr>
          <w:rFonts w:hint="eastAsia" w:ascii="黑体" w:hAnsi="黑体" w:eastAsia="黑体" w:cs="黑体"/>
          <w:b w:val="0"/>
          <w:bCs w:val="0"/>
          <w:kern w:val="2"/>
          <w:sz w:val="32"/>
          <w:szCs w:val="32"/>
          <w:lang w:val="en-US" w:eastAsia="zh-CN" w:bidi="ar-SA"/>
        </w:rPr>
        <w:t>五、响应文件的评审与谈判</w:t>
      </w:r>
      <w:bookmarkEnd w:id="129"/>
      <w:bookmarkEnd w:id="130"/>
      <w:bookmarkEnd w:id="131"/>
      <w:bookmarkEnd w:id="132"/>
      <w:bookmarkEnd w:id="133"/>
      <w:bookmarkEnd w:id="134"/>
      <w:bookmarkEnd w:id="135"/>
      <w:bookmarkEnd w:id="136"/>
    </w:p>
    <w:p w14:paraId="1394D77A">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7" w:name="_Toc26210"/>
      <w:bookmarkStart w:id="138" w:name="_Toc174"/>
      <w:bookmarkStart w:id="139" w:name="_Toc18713_WPSOffice_Level3"/>
      <w:bookmarkStart w:id="140" w:name="_Toc26446"/>
      <w:bookmarkStart w:id="141" w:name="_Toc19596_WPSOffice_Level3"/>
      <w:r>
        <w:rPr>
          <w:rFonts w:hint="eastAsia" w:ascii="楷体_GB2312" w:hAnsi="楷体_GB2312" w:eastAsia="楷体_GB2312" w:cs="楷体_GB2312"/>
          <w:b/>
          <w:bCs/>
          <w:kern w:val="2"/>
          <w:sz w:val="32"/>
          <w:szCs w:val="32"/>
          <w:lang w:val="en-US" w:eastAsia="zh-CN" w:bidi="ar-SA"/>
        </w:rPr>
        <w:t>17.谈判小组</w:t>
      </w:r>
      <w:bookmarkEnd w:id="137"/>
      <w:bookmarkEnd w:id="138"/>
      <w:bookmarkEnd w:id="139"/>
      <w:bookmarkEnd w:id="140"/>
      <w:bookmarkEnd w:id="141"/>
    </w:p>
    <w:p w14:paraId="421191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17.1竞争性磋商谈判小组由招标人共</w:t>
      </w:r>
      <w:r>
        <w:rPr>
          <w:rFonts w:hint="eastAsia" w:ascii="仿宋_GB2312" w:hAnsi="仿宋_GB2312" w:eastAsia="仿宋_GB2312" w:cs="仿宋_GB2312"/>
          <w:kern w:val="2"/>
          <w:sz w:val="32"/>
          <w:szCs w:val="32"/>
          <w:u w:val="single"/>
          <w:lang w:val="en-US" w:eastAsia="zh-CN" w:bidi="ar-SA"/>
        </w:rPr>
        <w:t xml:space="preserve"> 3  </w:t>
      </w:r>
      <w:r>
        <w:rPr>
          <w:rFonts w:hint="eastAsia" w:ascii="仿宋_GB2312" w:hAnsi="仿宋_GB2312" w:eastAsia="仿宋_GB2312" w:cs="仿宋_GB2312"/>
          <w:kern w:val="2"/>
          <w:sz w:val="32"/>
          <w:szCs w:val="32"/>
          <w:lang w:val="en-US" w:eastAsia="zh-CN" w:bidi="ar-SA"/>
        </w:rPr>
        <w:t>人组成（3人以上单数组成）。</w:t>
      </w:r>
    </w:p>
    <w:p w14:paraId="18A41D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17.2谈判由招标人负责组织，具体谈判事务由依法组建的谈判小组负责，并独立履行下列职责：</w:t>
      </w:r>
    </w:p>
    <w:p w14:paraId="25BBBBC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14:paraId="025F35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（2）审查竞标人的响应文件并作出评价；</w:t>
      </w:r>
    </w:p>
    <w:p w14:paraId="01F0C24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（3）要求竞标人对谈判文件有关事项作出澄清或者说明；</w:t>
      </w:r>
    </w:p>
    <w:p w14:paraId="0F5A826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（4）编写竞争性谈判结果报告；</w:t>
      </w:r>
    </w:p>
    <w:p w14:paraId="0C4913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（5）确定成交候选人名单，以及根据磋商结果直接确定成交竞标人；</w:t>
      </w:r>
    </w:p>
    <w:p w14:paraId="0D28B39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（6）告知评审过程中发现的竞标人的违法违规行为。</w:t>
      </w:r>
    </w:p>
    <w:p w14:paraId="1D692F4D">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14:paraId="2DF9BA1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14:paraId="7ED847A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14:paraId="54A5CDE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14:paraId="36C62B1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（4）参与竞争性谈判结果报告的起草；</w:t>
      </w:r>
    </w:p>
    <w:p w14:paraId="31E08B9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（5）答复竞标人提出的质疑；</w:t>
      </w:r>
    </w:p>
    <w:p w14:paraId="09E036F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（6）配合纪检部门的投诉处理和监督检查工作。</w:t>
      </w:r>
    </w:p>
    <w:p w14:paraId="27681999">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14:paraId="55FBE2D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年内与竞标人存在劳动关系；</w:t>
      </w:r>
    </w:p>
    <w:p w14:paraId="15546B5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年内担任竞标人的董事、监事；</w:t>
      </w:r>
    </w:p>
    <w:p w14:paraId="46FCBE9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年内是竞标人的控股股东或者实际控制人；</w:t>
      </w:r>
    </w:p>
    <w:p w14:paraId="2F687C1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（4）与竞标人的法定代表人或者负责人有夫妻、直系血亲、三代以内旁系血亲或者近姻亲关系；</w:t>
      </w:r>
    </w:p>
    <w:p w14:paraId="135E357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（5）与竞标人有其他可能影响采购活动公平、公正进行的关系。</w:t>
      </w:r>
      <w:bookmarkStart w:id="142" w:name="_Toc16350_WPSOffice_Level3"/>
      <w:bookmarkStart w:id="143" w:name="_Toc19122"/>
    </w:p>
    <w:p w14:paraId="7D8C1299">
      <w:pPr>
        <w:pStyle w:val="9"/>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44" w:name="_Toc8215"/>
      <w:bookmarkStart w:id="145" w:name="_Toc22044_WPSOffice_Level3"/>
      <w:r>
        <w:rPr>
          <w:rFonts w:hint="eastAsia" w:ascii="楷体_GB2312" w:hAnsi="楷体_GB2312" w:eastAsia="楷体_GB2312" w:cs="楷体_GB2312"/>
          <w:b/>
          <w:bCs/>
          <w:kern w:val="2"/>
          <w:sz w:val="32"/>
          <w:szCs w:val="32"/>
          <w:lang w:val="en-US" w:eastAsia="zh-CN" w:bidi="ar-SA"/>
        </w:rPr>
        <w:t>18.响应文件审查</w:t>
      </w:r>
      <w:bookmarkEnd w:id="142"/>
      <w:bookmarkEnd w:id="143"/>
      <w:bookmarkEnd w:id="144"/>
      <w:bookmarkEnd w:id="145"/>
    </w:p>
    <w:p w14:paraId="1047A7F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18.1谈判小组应当对响应文件进行评审，并根据谈判文件规定的程序、评定成交的标准等事项与实质性响应谈判文件要求的竞标人进行谈判。</w:t>
      </w:r>
    </w:p>
    <w:p w14:paraId="5CA669F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18.2在对竞标人进行审查时，存在下列情况之一的，按无效处理：</w:t>
      </w:r>
    </w:p>
    <w:p w14:paraId="3DE565B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（1）不符合谈判文件第一部分谈判须知前附表“竞标人资格条件”的；</w:t>
      </w:r>
    </w:p>
    <w:p w14:paraId="5F0D3C4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14:paraId="11897FE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14:paraId="0CE194D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14:paraId="1590729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（5）谈判报价超过谈判文件规定的预算额度的；</w:t>
      </w:r>
    </w:p>
    <w:p w14:paraId="1F757D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（6）所提供产品的技术规格、技术标准不符合项目要求的；</w:t>
      </w:r>
    </w:p>
    <w:p w14:paraId="16F38DA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（7）谈判响应文件含有招标人不能接受的附加条件的；</w:t>
      </w:r>
    </w:p>
    <w:p w14:paraId="5E7B0BF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14:paraId="1BD9A38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14:paraId="4155257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14:paraId="7B94960C">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6" w:name="_Toc11154"/>
      <w:bookmarkStart w:id="147" w:name="_Toc17197"/>
      <w:bookmarkStart w:id="148" w:name="_Toc20873"/>
      <w:bookmarkStart w:id="149" w:name="_Toc17887_WPSOffice_Level3"/>
      <w:bookmarkStart w:id="150" w:name="_Toc1673_WPSOffice_Level3"/>
      <w:r>
        <w:rPr>
          <w:rFonts w:hint="eastAsia" w:ascii="楷体_GB2312" w:hAnsi="楷体_GB2312" w:eastAsia="楷体_GB2312" w:cs="楷体_GB2312"/>
          <w:b/>
          <w:bCs/>
          <w:kern w:val="2"/>
          <w:sz w:val="32"/>
          <w:szCs w:val="32"/>
          <w:lang w:val="en-US" w:eastAsia="zh-CN" w:bidi="ar-SA"/>
        </w:rPr>
        <w:t>19.谈判程序</w:t>
      </w:r>
      <w:bookmarkEnd w:id="146"/>
      <w:bookmarkEnd w:id="147"/>
      <w:bookmarkEnd w:id="148"/>
      <w:bookmarkEnd w:id="149"/>
      <w:bookmarkEnd w:id="150"/>
    </w:p>
    <w:p w14:paraId="745612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竞标人分别进行谈判，负责审议所有通过资格条件竞标人的谈判响应文件，给予所有参加谈判的竞标人平等的谈判机会。竞标人应派其代表参加谈判。在谈判过程中谈判的任何一方不得向他人透露与谈判有关的技术资料、价格或其他信息。</w:t>
      </w:r>
    </w:p>
    <w:p w14:paraId="345F40B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。实质性变动的内容，须经招标人代表确认，谈判小组将以书面形式将修改内容同时通知所有参加谈判的竞标人。</w:t>
      </w:r>
    </w:p>
    <w:p w14:paraId="6650781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single"/>
          <w:lang w:val="en-US" w:eastAsia="zh-CN" w:bidi="ar-SA"/>
        </w:rPr>
        <w:t>竞标人应当按照谈判文件的变动情况和谈判小组的要求重新提交响应文件，并由其法定代表人或授权代表签字或者加盖公章。由授权代表签字的，应当附法定代表人授权书。竞标人为自然人的，应当由本人签字并附身份证明。</w:t>
      </w:r>
    </w:p>
    <w:p w14:paraId="55BED56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19.4响应文件中首次报价表内的报价为首次报价，根据技术、服务等满足谈判文件要求的情况，竞标人可进行二次报价。</w:t>
      </w:r>
    </w:p>
    <w:p w14:paraId="054DB49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single" w:color="auto"/>
          <w:lang w:val="en-US" w:eastAsia="zh-CN" w:bidi="ar-SA"/>
        </w:rPr>
        <w:t>谈判小组认为竞标人的最后报价明显低于其他通过有效性、完整性、响应程度审查竞标人的报价，有可能影响产品质量或者不能诚信履约的，应当要求其在谈判现场合理的时间内提供书面说明，必要时提交相关证明材料；竞标人不能证明其报价合理性的，谈判小组应当将其作为无效谈判处理。</w:t>
      </w:r>
    </w:p>
    <w:p w14:paraId="5C05368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14:paraId="4A82BB21">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1" w:name="_Toc25644_WPSOffice_Level3"/>
      <w:bookmarkStart w:id="152" w:name="_Toc24288_WPSOffice_Level3"/>
      <w:bookmarkStart w:id="153" w:name="_Toc2176"/>
      <w:bookmarkStart w:id="154" w:name="_Toc14903"/>
      <w:bookmarkStart w:id="155" w:name="_Toc22963"/>
      <w:r>
        <w:rPr>
          <w:rFonts w:hint="eastAsia" w:ascii="楷体_GB2312" w:hAnsi="楷体_GB2312" w:eastAsia="楷体_GB2312" w:cs="楷体_GB2312"/>
          <w:b/>
          <w:bCs/>
          <w:kern w:val="2"/>
          <w:sz w:val="32"/>
          <w:szCs w:val="32"/>
          <w:lang w:val="en-US" w:eastAsia="zh-CN" w:bidi="ar-SA"/>
        </w:rPr>
        <w:t>20.澄清</w:t>
      </w:r>
      <w:bookmarkEnd w:id="151"/>
      <w:bookmarkEnd w:id="152"/>
      <w:bookmarkEnd w:id="153"/>
      <w:bookmarkEnd w:id="154"/>
      <w:bookmarkEnd w:id="155"/>
    </w:p>
    <w:p w14:paraId="5653DB0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竞标人对响应文件中含义不明确、同类问题表述不一致或者有明显文字和计算错误的内容等作出必要的澄清、说明或者更正。</w:t>
      </w:r>
    </w:p>
    <w:p w14:paraId="48665EE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竞标人的澄清、说明或者更正响应文件应当采用书面形式，由法定代表人或其授权代表签字或者加盖公章。由授权代表签字的，应当附法定代表人授权书。竞标人为自然人的，应当由本人签字并附身份证明，竞标人的澄清、说明或者更正不得超出谈判文件的范围或者改变响应文件的实质性内容。</w:t>
      </w:r>
    </w:p>
    <w:p w14:paraId="253DBFE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6" w:name="_Toc806"/>
      <w:bookmarkStart w:id="157" w:name="_Toc4997"/>
      <w:bookmarkStart w:id="158" w:name="_Toc8374"/>
      <w:bookmarkStart w:id="159" w:name="_Toc6898_WPSOffice_Level3"/>
      <w:bookmarkStart w:id="160" w:name="_Toc13262_WPSOffice_Level3"/>
      <w:r>
        <w:rPr>
          <w:rFonts w:hint="eastAsia" w:ascii="楷体_GB2312" w:hAnsi="楷体_GB2312" w:eastAsia="楷体_GB2312" w:cs="楷体_GB2312"/>
          <w:b/>
          <w:bCs/>
          <w:kern w:val="2"/>
          <w:sz w:val="32"/>
          <w:szCs w:val="32"/>
          <w:lang w:val="en-US" w:eastAsia="zh-CN" w:bidi="ar-SA"/>
        </w:rPr>
        <w:t>21.退出谈判</w:t>
      </w:r>
      <w:bookmarkEnd w:id="156"/>
      <w:bookmarkEnd w:id="157"/>
      <w:bookmarkEnd w:id="158"/>
      <w:bookmarkEnd w:id="159"/>
      <w:bookmarkEnd w:id="160"/>
    </w:p>
    <w:p w14:paraId="39F56217">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竞标人在提交最后报价之前，可以根据谈判情况退出谈判，并由法定代表人或其授权代表签字或加盖公章书面通知招标人。招标人按规定退还退出谈判的竞标人的保证金。</w:t>
      </w:r>
    </w:p>
    <w:p w14:paraId="33470859">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1" w:name="_Toc32003"/>
      <w:bookmarkStart w:id="162" w:name="_Toc5048_WPSOffice_Level3"/>
      <w:bookmarkStart w:id="163" w:name="_Toc14748"/>
      <w:bookmarkStart w:id="164" w:name="_Toc18169_WPSOffice_Level3"/>
      <w:bookmarkStart w:id="165" w:name="_Toc15014"/>
      <w:r>
        <w:rPr>
          <w:rFonts w:hint="eastAsia" w:ascii="楷体_GB2312" w:hAnsi="楷体_GB2312" w:eastAsia="楷体_GB2312" w:cs="楷体_GB2312"/>
          <w:b/>
          <w:bCs/>
          <w:kern w:val="2"/>
          <w:sz w:val="32"/>
          <w:szCs w:val="32"/>
          <w:lang w:val="en-US" w:eastAsia="zh-CN" w:bidi="ar-SA"/>
        </w:rPr>
        <w:t>22.最后报价</w:t>
      </w:r>
      <w:bookmarkEnd w:id="161"/>
      <w:bookmarkEnd w:id="162"/>
      <w:bookmarkEnd w:id="163"/>
      <w:bookmarkEnd w:id="164"/>
      <w:bookmarkEnd w:id="165"/>
    </w:p>
    <w:p w14:paraId="4AC511E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竞标人不少于3家的，谈判小组应当要求符合谈判文件规定的实质性要求和条件的竞标人在规定时间内提交最后报价。最后报价应由竞标人代表签字或者加盖竞标人单位公章。</w:t>
      </w:r>
    </w:p>
    <w:p w14:paraId="549C27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single" w:color="auto"/>
          <w:lang w:val="en-US" w:eastAsia="zh-CN" w:bidi="ar-SA"/>
        </w:rPr>
        <w:t>谈判文件不能详细列明需求的技术、服务要求，需经谈判由竞标人提供最终设计方案</w:t>
      </w:r>
      <w:r>
        <w:rPr>
          <w:rFonts w:hint="eastAsia" w:ascii="仿宋_GB2312" w:hAnsi="仿宋_GB2312" w:eastAsia="仿宋_GB2312" w:cs="仿宋_GB2312"/>
          <w:kern w:val="2"/>
          <w:sz w:val="32"/>
          <w:szCs w:val="32"/>
          <w:highlight w:val="none"/>
          <w:u w:val="single" w:color="auto"/>
          <w:lang w:val="en-US" w:eastAsia="zh-CN" w:bidi="ar-SA"/>
        </w:rPr>
        <w:t>或解决方案的，谈判结束后，谈判小组应当按照少数服从多数的原则投票推荐3家以上</w:t>
      </w:r>
      <w:r>
        <w:rPr>
          <w:rFonts w:hint="eastAsia" w:ascii="仿宋_GB2312" w:hAnsi="仿宋_GB2312" w:eastAsia="仿宋_GB2312" w:cs="仿宋_GB2312"/>
          <w:kern w:val="2"/>
          <w:sz w:val="32"/>
          <w:szCs w:val="32"/>
          <w:u w:val="single" w:color="auto"/>
          <w:lang w:val="en-US" w:eastAsia="zh-CN" w:bidi="ar-SA"/>
        </w:rPr>
        <w:t>竞标人的设计方案或者解决方案，并要求其在规定时间内提交最后报价。</w:t>
      </w:r>
    </w:p>
    <w:p w14:paraId="28FF0277">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14:paraId="339901A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最后报价出现大写金额和小写金额不一致的，以大写金额为准。</w:t>
      </w:r>
    </w:p>
    <w:p w14:paraId="2DC503C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single" w:color="auto"/>
          <w:lang w:val="en-US" w:eastAsia="zh-CN" w:bidi="ar-SA"/>
        </w:rPr>
        <w:t>最后报价不得高于其响应文件中的首次报价。</w:t>
      </w:r>
    </w:p>
    <w:p w14:paraId="1857DC6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22.5招标人在按规定公布最终竞标人前，不得公开竞标人的技术资料、价格和其他信息。</w:t>
      </w:r>
    </w:p>
    <w:p w14:paraId="098BE20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single" w:color="auto"/>
          <w:lang w:val="en-US" w:eastAsia="zh-CN" w:bidi="ar-SA"/>
        </w:rPr>
        <w:t>若最后报价时出现最低价相同的情形，谈判小组应召集报价相同的竞标人进行再次报价（或直接提出成交候选人）</w:t>
      </w:r>
      <w:r>
        <w:rPr>
          <w:rFonts w:hint="eastAsia" w:ascii="仿宋_GB2312" w:hAnsi="仿宋_GB2312" w:eastAsia="仿宋_GB2312" w:cs="仿宋_GB2312"/>
          <w:kern w:val="2"/>
          <w:sz w:val="32"/>
          <w:szCs w:val="32"/>
          <w:lang w:val="en-US" w:eastAsia="zh-CN" w:bidi="ar-SA"/>
        </w:rPr>
        <w:t>（由招标人自主选择）。</w:t>
      </w:r>
    </w:p>
    <w:p w14:paraId="2672A9D2">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6" w:name="_Toc16084_WPSOffice_Level3"/>
      <w:bookmarkStart w:id="167" w:name="_Toc1797"/>
      <w:bookmarkStart w:id="168" w:name="_Toc7275"/>
      <w:bookmarkStart w:id="169" w:name="_Toc8242_WPSOffice_Level3"/>
      <w:bookmarkStart w:id="170" w:name="_Toc19343"/>
      <w:r>
        <w:rPr>
          <w:rFonts w:hint="eastAsia" w:ascii="楷体_GB2312" w:hAnsi="楷体_GB2312" w:eastAsia="楷体_GB2312" w:cs="楷体_GB2312"/>
          <w:b/>
          <w:bCs/>
          <w:kern w:val="2"/>
          <w:sz w:val="32"/>
          <w:szCs w:val="32"/>
          <w:lang w:val="en-US" w:eastAsia="zh-CN" w:bidi="ar-SA"/>
        </w:rPr>
        <w:t>23.确定成交</w:t>
      </w:r>
      <w:bookmarkEnd w:id="166"/>
      <w:bookmarkEnd w:id="167"/>
      <w:bookmarkEnd w:id="168"/>
      <w:bookmarkEnd w:id="169"/>
      <w:r>
        <w:rPr>
          <w:rFonts w:hint="eastAsia" w:ascii="楷体_GB2312" w:hAnsi="楷体_GB2312" w:eastAsia="楷体_GB2312" w:cs="楷体_GB2312"/>
          <w:b/>
          <w:bCs/>
          <w:kern w:val="2"/>
          <w:sz w:val="32"/>
          <w:szCs w:val="32"/>
          <w:lang w:val="en-US" w:eastAsia="zh-CN" w:bidi="ar-SA"/>
        </w:rPr>
        <w:t>竞标人</w:t>
      </w:r>
      <w:bookmarkEnd w:id="170"/>
    </w:p>
    <w:p w14:paraId="7A8691C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文件实质性响应要求的竞标人中，按照最后报价由低到高的顺序提出3名成交候选人，并编写评审报告。竞标人最后报价涉及算术修正、需落实相关政策的，按上款规定由低到高顺序排序。</w:t>
      </w:r>
    </w:p>
    <w:p w14:paraId="4EFEC5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1B389D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23.3招标人应当在评审结束后3个工作日内确认评审结果。</w:t>
      </w:r>
    </w:p>
    <w:p w14:paraId="00F90E3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23.4招标人应当在评审工作结束后7个工作日内，从评审报告提出的成交候选人中，根据质量和服务均能满足谈判文件实质性响应要求确定成交竞标人，也可以书面授权谈判小组直接确定成交竞标人。</w:t>
      </w:r>
    </w:p>
    <w:p w14:paraId="65BF4386">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1" w:name="_Toc24684"/>
      <w:bookmarkStart w:id="172" w:name="_Toc20869_WPSOffice_Level3"/>
      <w:bookmarkStart w:id="173" w:name="_Toc10295"/>
      <w:bookmarkStart w:id="174" w:name="_Toc17639_WPSOffice_Level3"/>
      <w:bookmarkStart w:id="175" w:name="_Toc14796"/>
      <w:r>
        <w:rPr>
          <w:rFonts w:hint="eastAsia" w:ascii="楷体_GB2312" w:hAnsi="楷体_GB2312" w:eastAsia="楷体_GB2312" w:cs="楷体_GB2312"/>
          <w:b/>
          <w:bCs/>
          <w:kern w:val="2"/>
          <w:sz w:val="32"/>
          <w:szCs w:val="32"/>
          <w:lang w:val="en-US" w:eastAsia="zh-CN" w:bidi="ar-SA"/>
        </w:rPr>
        <w:t>24.重新评审</w:t>
      </w:r>
      <w:bookmarkEnd w:id="171"/>
      <w:bookmarkEnd w:id="172"/>
      <w:bookmarkEnd w:id="173"/>
      <w:bookmarkEnd w:id="174"/>
      <w:bookmarkEnd w:id="175"/>
    </w:p>
    <w:p w14:paraId="3F08ECE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24.1除资格审查认定错误和价格计算错误外，不以任何理由组织重新评审。</w:t>
      </w:r>
    </w:p>
    <w:p w14:paraId="3A3F52C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24.2谈判小组未按照谈判文件规定的评定成交标准进行评审的，应当重新开展谈判活动。</w:t>
      </w:r>
    </w:p>
    <w:p w14:paraId="4609425E">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6" w:name="_Toc30364"/>
      <w:bookmarkStart w:id="177" w:name="_Toc12673"/>
      <w:bookmarkStart w:id="178" w:name="_Toc3509"/>
      <w:bookmarkStart w:id="179" w:name="_Toc1388_WPSOffice_Level3"/>
      <w:bookmarkStart w:id="180" w:name="_Toc26374_WPSOffice_Level3"/>
      <w:r>
        <w:rPr>
          <w:rFonts w:hint="eastAsia" w:ascii="楷体_GB2312" w:hAnsi="楷体_GB2312" w:eastAsia="楷体_GB2312" w:cs="楷体_GB2312"/>
          <w:b/>
          <w:bCs/>
          <w:kern w:val="2"/>
          <w:sz w:val="32"/>
          <w:szCs w:val="32"/>
          <w:lang w:val="en-US" w:eastAsia="zh-CN" w:bidi="ar-SA"/>
        </w:rPr>
        <w:t>25.谈判终止</w:t>
      </w:r>
      <w:bookmarkEnd w:id="176"/>
      <w:bookmarkEnd w:id="177"/>
      <w:bookmarkEnd w:id="178"/>
      <w:bookmarkEnd w:id="179"/>
      <w:bookmarkEnd w:id="180"/>
    </w:p>
    <w:p w14:paraId="790A4F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25.1出现下列情形之一的，应当终止竞争性磋商谈判活动，在指定的媒体上发布项目终止公告并说明原因，重新开展： </w:t>
      </w:r>
    </w:p>
    <w:p w14:paraId="0FBD47F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（1）因情况变化，不再符合规定的竞争性磋商方式适用情形的；</w:t>
      </w:r>
    </w:p>
    <w:p w14:paraId="20229E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（2）出现影响项目公正的违法、违规行为的；</w:t>
      </w:r>
    </w:p>
    <w:p w14:paraId="6CA8ED3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（3）谈判过程中符合谈判要求的竞标人或者报价未超过采购预算的竞标人不足3家的，或者提交最后报价的竞标人少于3家的；</w:t>
      </w:r>
    </w:p>
    <w:p w14:paraId="56A9F56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（4）因重大变故，谈判任务取消的。</w:t>
      </w:r>
    </w:p>
    <w:p w14:paraId="2E458328">
      <w:pPr>
        <w:pStyle w:val="9"/>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81" w:name="_Toc10819"/>
      <w:bookmarkStart w:id="182" w:name="_Toc11721"/>
      <w:bookmarkStart w:id="183" w:name="_Toc32730"/>
      <w:bookmarkStart w:id="184" w:name="_Toc18635_WPSOffice_Level3"/>
      <w:bookmarkStart w:id="185" w:name="_Toc20688_WPSOffice_Level3"/>
      <w:r>
        <w:rPr>
          <w:rFonts w:hint="eastAsia" w:ascii="楷体_GB2312" w:hAnsi="楷体_GB2312" w:eastAsia="楷体_GB2312" w:cs="楷体_GB2312"/>
          <w:b/>
          <w:bCs/>
          <w:kern w:val="2"/>
          <w:sz w:val="32"/>
          <w:szCs w:val="32"/>
          <w:lang w:val="en-US" w:eastAsia="zh-CN" w:bidi="ar-SA"/>
        </w:rPr>
        <w:t>26.串通情形认定及处理</w:t>
      </w:r>
      <w:bookmarkEnd w:id="181"/>
      <w:bookmarkEnd w:id="182"/>
      <w:bookmarkEnd w:id="183"/>
      <w:bookmarkEnd w:id="184"/>
      <w:bookmarkEnd w:id="185"/>
    </w:p>
    <w:p w14:paraId="3C9A55FF">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26.1竞标人不得与其他竞标人恶意串通；不得向谈判小组成员行贿或者提供其他不正当利益；不得提供虚假材料谋取成交；不得以任何方式干扰、影响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14:paraId="385358DE">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26.2有下列情形之一的，成交无效，对竞标人</w:t>
      </w:r>
      <w:r>
        <w:rPr>
          <w:rFonts w:hint="eastAsia" w:ascii="仿宋" w:hAnsi="仿宋" w:eastAsia="仿宋" w:cs="仿宋"/>
          <w:sz w:val="32"/>
          <w:szCs w:val="32"/>
          <w:lang w:val="zh-CN" w:eastAsia="zh-CN"/>
        </w:rPr>
        <w:t>依照</w:t>
      </w:r>
      <w:r>
        <w:rPr>
          <w:rFonts w:hint="eastAsia" w:ascii="仿宋" w:hAnsi="仿宋" w:eastAsia="仿宋" w:cs="仿宋"/>
          <w:sz w:val="32"/>
          <w:szCs w:val="32"/>
          <w:lang w:val="en-US" w:eastAsia="zh-CN"/>
        </w:rPr>
        <w:t>相关法律法规</w:t>
      </w:r>
      <w:r>
        <w:rPr>
          <w:rFonts w:hint="eastAsia" w:ascii="仿宋" w:hAnsi="仿宋" w:eastAsia="仿宋" w:cs="仿宋"/>
          <w:sz w:val="32"/>
          <w:szCs w:val="32"/>
          <w:lang w:val="zh-CN" w:eastAsia="zh-CN"/>
        </w:rPr>
        <w:t>的规定追究法律责任：</w:t>
      </w:r>
    </w:p>
    <w:p w14:paraId="63A9030C">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86" w:name="_Toc34637770"/>
      <w:bookmarkStart w:id="187" w:name="_Toc22761"/>
      <w:r>
        <w:rPr>
          <w:rFonts w:hint="eastAsia" w:ascii="仿宋" w:hAnsi="仿宋" w:eastAsia="仿宋" w:cs="仿宋"/>
          <w:sz w:val="32"/>
          <w:szCs w:val="32"/>
          <w:lang w:val="en-US" w:eastAsia="zh-CN"/>
        </w:rPr>
        <w:t xml:space="preserve">   （1）竞标人直接或者间接从招标人处获得其他竞标人的相关情况并修改其响应文件；</w:t>
      </w:r>
    </w:p>
    <w:p w14:paraId="1D1ABB8B">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（2）竞标人按照招标人的授意撤换、修改响应文件；</w:t>
      </w:r>
    </w:p>
    <w:p w14:paraId="1AD601C7">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（3）竞标人之间协商报价、技术方案等响应文件的实质性内容；</w:t>
      </w:r>
    </w:p>
    <w:p w14:paraId="5610F49E">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（4）属于同一集团、协会、商会等组织成员的竞标人按照该组织要求协同参加谈判活动；</w:t>
      </w:r>
    </w:p>
    <w:p w14:paraId="7EBF7FD8">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（5）竞标人之间事先约定由某一特定竞标人成交；</w:t>
      </w:r>
    </w:p>
    <w:p w14:paraId="1C17A644">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（6）竞标人之间商定部分竞标人放弃参加谈判活动或者放弃成交；</w:t>
      </w:r>
    </w:p>
    <w:p w14:paraId="461A2E51">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（7）竞标人与招标人、竞标人相互之间，为谋求特定竞标人成交或者排斥其他竞标人的其他串通行为。</w:t>
      </w:r>
    </w:p>
    <w:p w14:paraId="1934CD01">
      <w:pPr>
        <w:widowControl w:val="0"/>
        <w:wordWrap/>
        <w:spacing w:line="560" w:lineRule="exact"/>
        <w:ind w:right="0" w:firstLine="640" w:firstLineChars="200"/>
        <w:textAlignment w:val="auto"/>
        <w:outlineLvl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有下列情形之一的，视为竞标人串通，其响应无效：</w:t>
      </w:r>
    </w:p>
    <w:p w14:paraId="38D4CFE5">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（1）不同竞标人的响应文件由同一单位或者个人编制；</w:t>
      </w:r>
    </w:p>
    <w:p w14:paraId="08F0DC5F">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（2）不同竞标人委托同一单位或者个人办理谈判事宜；</w:t>
      </w:r>
    </w:p>
    <w:p w14:paraId="24D8BAFD">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（3）不同竞标人的响应文件载明的项目管理成员或者联系人员为同一人；</w:t>
      </w:r>
    </w:p>
    <w:p w14:paraId="60429E52">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（4）不同竞标人的响应文件异常一致或者报价呈规律性差异；</w:t>
      </w:r>
    </w:p>
    <w:p w14:paraId="75ACA916">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（5）不同竞标人的响应文件相互混装；</w:t>
      </w:r>
    </w:p>
    <w:p w14:paraId="2E3B9799">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（6）不同竞标人的保证金从同一单位或者个人的账户转出。</w:t>
      </w:r>
    </w:p>
    <w:p w14:paraId="6BA42A28">
      <w:pPr>
        <w:widowControl w:val="0"/>
        <w:wordWrap/>
        <w:spacing w:line="560" w:lineRule="exact"/>
        <w:ind w:right="0" w:firstLine="640" w:firstLineChars="200"/>
        <w:textAlignment w:val="auto"/>
        <w:outlineLvl w:val="1"/>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               </w:t>
      </w:r>
      <w:bookmarkStart w:id="188" w:name="_Toc3833"/>
      <w:r>
        <w:rPr>
          <w:rFonts w:hint="eastAsia" w:ascii="黑体" w:hAnsi="黑体" w:eastAsia="黑体" w:cs="黑体"/>
          <w:b w:val="0"/>
          <w:bCs w:val="0"/>
          <w:kern w:val="2"/>
          <w:sz w:val="32"/>
          <w:szCs w:val="32"/>
          <w:highlight w:val="none"/>
          <w:lang w:val="en-US" w:eastAsia="zh-CN" w:bidi="ar-SA"/>
        </w:rPr>
        <w:t>六、成交结果信息公布与授予合同</w:t>
      </w:r>
      <w:bookmarkEnd w:id="186"/>
      <w:bookmarkEnd w:id="187"/>
      <w:bookmarkEnd w:id="188"/>
    </w:p>
    <w:p w14:paraId="649EC56A">
      <w:pPr>
        <w:pStyle w:val="9"/>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89" w:name="_Toc26629"/>
      <w:bookmarkStart w:id="190" w:name="_Toc947"/>
      <w:bookmarkStart w:id="191" w:name="_Toc30784_WPSOffice_Level3"/>
      <w:bookmarkStart w:id="192" w:name="_Toc8339_WPSOffice_Level3"/>
      <w:bookmarkStart w:id="193" w:name="_Toc23126"/>
      <w:r>
        <w:rPr>
          <w:rFonts w:hint="eastAsia" w:ascii="楷体_GB2312" w:hAnsi="楷体_GB2312" w:eastAsia="楷体_GB2312" w:cs="楷体_GB2312"/>
          <w:b/>
          <w:bCs/>
          <w:kern w:val="2"/>
          <w:sz w:val="32"/>
          <w:szCs w:val="32"/>
          <w:lang w:val="en-US" w:eastAsia="zh-CN" w:bidi="ar-SA"/>
        </w:rPr>
        <w:t>27.成交信息的公布与通知</w:t>
      </w:r>
      <w:bookmarkEnd w:id="189"/>
      <w:bookmarkEnd w:id="190"/>
      <w:bookmarkEnd w:id="191"/>
      <w:bookmarkEnd w:id="192"/>
      <w:bookmarkEnd w:id="193"/>
    </w:p>
    <w:p w14:paraId="2DC3441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27.1招标人应自确定成交竞标人之日起3个工作日内在相应网站公告成交结果，同时向成交竞标人发出《中标通知书》。</w:t>
      </w:r>
    </w:p>
    <w:p w14:paraId="481F2A1E">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14:paraId="1D7EE4E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（1）招标人名称；</w:t>
      </w:r>
    </w:p>
    <w:p w14:paraId="7E4EAF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14:paraId="4E6456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（3）成交竞标人名称；</w:t>
      </w:r>
    </w:p>
    <w:p w14:paraId="000561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27.3《中标通知书》发出后，成交竞标人无正当理由不得放弃。</w:t>
      </w:r>
    </w:p>
    <w:p w14:paraId="12D40A51">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4" w:name="_Toc29897"/>
      <w:bookmarkStart w:id="195" w:name="_Toc29441"/>
      <w:bookmarkStart w:id="196" w:name="_Toc20586"/>
      <w:bookmarkStart w:id="197" w:name="_Toc13860_WPSOffice_Level3"/>
      <w:bookmarkStart w:id="198" w:name="_Toc5068_WPSOffice_Level3"/>
      <w:r>
        <w:rPr>
          <w:rFonts w:hint="eastAsia" w:ascii="楷体_GB2312" w:hAnsi="楷体_GB2312" w:eastAsia="楷体_GB2312" w:cs="楷体_GB2312"/>
          <w:b/>
          <w:bCs/>
          <w:kern w:val="2"/>
          <w:sz w:val="32"/>
          <w:szCs w:val="32"/>
          <w:lang w:val="en-US" w:eastAsia="zh-CN" w:bidi="ar-SA"/>
        </w:rPr>
        <w:t>28.授予合同</w:t>
      </w:r>
      <w:bookmarkEnd w:id="194"/>
      <w:bookmarkEnd w:id="195"/>
      <w:bookmarkEnd w:id="196"/>
      <w:bookmarkEnd w:id="197"/>
      <w:bookmarkEnd w:id="198"/>
    </w:p>
    <w:p w14:paraId="05AF92D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28.1谈判文件、成交竞标人的响应文件及其补充的响应文件、中标通知书等均为签订合同的依据。</w:t>
      </w:r>
    </w:p>
    <w:p w14:paraId="6DC58E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28.2招标人与成交竞标人双方应当自《中标通知书》发出之日起30日内，按照谈判文件确定的合同文本以及项目标的、规格型号、金额、数量、技术和服务要求等事项签订合同。</w:t>
      </w:r>
    </w:p>
    <w:p w14:paraId="2081FEB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招标人不得向成交竞标人提出超出谈判文件以外的任何要求作为订立合同的条件，不得与成交竞标人订立背离谈判文件确定的合同文本以及标的、规格型号、金额、数量、技术和服务要求等实质性内容的协议。</w:t>
      </w:r>
    </w:p>
    <w:p w14:paraId="71718E44">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9" w:name="_Toc32538"/>
      <w:bookmarkStart w:id="200" w:name="_Toc16374"/>
      <w:bookmarkStart w:id="201" w:name="_Toc16258_WPSOffice_Level3"/>
      <w:bookmarkStart w:id="202" w:name="_Toc8740_WPSOffice_Level3"/>
      <w:bookmarkStart w:id="203" w:name="_Toc15983"/>
      <w:bookmarkStart w:id="204" w:name="_Toc325726030"/>
      <w:bookmarkStart w:id="205" w:name="_Toc376936761"/>
      <w:r>
        <w:rPr>
          <w:rFonts w:hint="eastAsia" w:ascii="楷体_GB2312" w:hAnsi="楷体_GB2312" w:eastAsia="楷体_GB2312" w:cs="楷体_GB2312"/>
          <w:b/>
          <w:bCs/>
          <w:kern w:val="2"/>
          <w:sz w:val="32"/>
          <w:szCs w:val="32"/>
          <w:lang w:val="en-US" w:eastAsia="zh-CN" w:bidi="ar-SA"/>
        </w:rPr>
        <w:t>29.履约验收</w:t>
      </w:r>
      <w:bookmarkEnd w:id="199"/>
      <w:bookmarkEnd w:id="200"/>
      <w:bookmarkEnd w:id="201"/>
      <w:bookmarkEnd w:id="202"/>
      <w:bookmarkEnd w:id="203"/>
    </w:p>
    <w:p w14:paraId="24BCF86D">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29.1履约保证金：</w:t>
      </w:r>
      <w:r>
        <w:rPr>
          <w:rFonts w:hint="eastAsia" w:ascii="仿宋_GB2312" w:hAnsi="仿宋_GB2312" w:eastAsia="仿宋_GB2312" w:cs="仿宋_GB2312"/>
          <w:kern w:val="2"/>
          <w:sz w:val="32"/>
          <w:szCs w:val="32"/>
          <w:u w:val="single"/>
          <w:lang w:val="en-US" w:eastAsia="zh-CN" w:bidi="ar-SA"/>
        </w:rPr>
        <w:t>无</w:t>
      </w:r>
    </w:p>
    <w:p w14:paraId="7FD7219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29.2招标人应当按照合同规定的技术、服务、安全标准组织对竞标人履约情况进行验收，并出具验收书。验收书应当包括每一项技术、服务、安全标准的履约情况。</w:t>
      </w:r>
    </w:p>
    <w:p w14:paraId="420D697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29.3招标人可以邀请参加本项目的其他竞标人或者第三方机构参与验收。参与验收的竞标人或者第三方机构的意见作为验收书的参考资料一并存档。</w:t>
      </w:r>
    </w:p>
    <w:p w14:paraId="1D291A1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29.4招标人应当加强履约管理，并按照合同约定，及时向成交竞标人支付资金。对于成交竞标人违反合同约定的行为，应当及时处理，依法追究其违约责任。</w:t>
      </w:r>
    </w:p>
    <w:p w14:paraId="3745CAC3">
      <w:pPr>
        <w:widowControl w:val="0"/>
        <w:wordWrap/>
        <w:adjustRightInd w:val="0"/>
        <w:snapToGrid w:val="0"/>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29.5招标人应当建立真实完整的谈判档案，妥善保存谈判的相关资料。</w:t>
      </w:r>
      <w:bookmarkStart w:id="206" w:name="_Toc3517_WPSOffice_Level2"/>
      <w:bookmarkStart w:id="207" w:name="_Toc2658_WPSOffice_Level2"/>
      <w:bookmarkStart w:id="208" w:name="_Toc4328"/>
      <w:bookmarkStart w:id="209" w:name="_Toc32362"/>
      <w:bookmarkStart w:id="210" w:name="_Toc6881"/>
      <w:bookmarkStart w:id="211" w:name="_Toc31604_WPSOffice_Level2"/>
    </w:p>
    <w:p w14:paraId="681BA2B5">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2" w:name="_Toc10906"/>
      <w:r>
        <w:rPr>
          <w:rFonts w:hint="eastAsia" w:ascii="黑体" w:hAnsi="黑体" w:eastAsia="黑体" w:cs="黑体"/>
          <w:b w:val="0"/>
          <w:bCs w:val="0"/>
          <w:kern w:val="2"/>
          <w:sz w:val="32"/>
          <w:szCs w:val="32"/>
          <w:highlight w:val="none"/>
          <w:lang w:val="en-US" w:eastAsia="zh-CN" w:bidi="ar-SA"/>
        </w:rPr>
        <w:t>七、询问与质疑</w:t>
      </w:r>
      <w:bookmarkEnd w:id="204"/>
      <w:bookmarkEnd w:id="205"/>
      <w:bookmarkEnd w:id="206"/>
      <w:bookmarkEnd w:id="207"/>
      <w:bookmarkEnd w:id="208"/>
      <w:bookmarkEnd w:id="209"/>
      <w:bookmarkEnd w:id="210"/>
      <w:bookmarkEnd w:id="211"/>
      <w:bookmarkEnd w:id="212"/>
    </w:p>
    <w:p w14:paraId="080F92CC">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13" w:name="_Toc23314_WPSOffice_Level3"/>
      <w:bookmarkStart w:id="214" w:name="_Toc32759"/>
      <w:bookmarkStart w:id="215" w:name="_Toc25982_WPSOffice_Level3"/>
      <w:bookmarkStart w:id="216" w:name="_Toc29785"/>
      <w:bookmarkStart w:id="217" w:name="_Toc21641"/>
      <w:r>
        <w:rPr>
          <w:rFonts w:hint="eastAsia" w:ascii="楷体_GB2312" w:hAnsi="楷体_GB2312" w:eastAsia="楷体_GB2312" w:cs="楷体_GB2312"/>
          <w:b/>
          <w:bCs/>
          <w:kern w:val="2"/>
          <w:sz w:val="32"/>
          <w:szCs w:val="32"/>
          <w:lang w:val="en-US" w:eastAsia="zh-CN" w:bidi="ar-SA"/>
        </w:rPr>
        <w:t>30.对谈判过程、结果的询问及质疑</w:t>
      </w:r>
      <w:bookmarkEnd w:id="213"/>
      <w:bookmarkEnd w:id="214"/>
      <w:bookmarkEnd w:id="215"/>
      <w:bookmarkEnd w:id="216"/>
      <w:bookmarkEnd w:id="217"/>
    </w:p>
    <w:p w14:paraId="3F4C381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30.1竞标人对谈判过程、结果有疑问的，可以向招标人提出询问。</w:t>
      </w:r>
    </w:p>
    <w:p w14:paraId="7071C1E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30.2参与所质疑项目的竞标人认为谈判过程、成交结果使自己的权益受到损害的，可以在知道或者应知其权益受到损害之日起7个工作日内，以书面形式向招标人提出质疑。</w:t>
      </w:r>
    </w:p>
    <w:p w14:paraId="1DB18CA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30.3竞标人应在法定质疑期内一次性提出针对同一谈判程序环节的质疑。</w:t>
      </w:r>
    </w:p>
    <w:p w14:paraId="301BF098">
      <w:pPr>
        <w:widowControl w:val="0"/>
        <w:numPr>
          <w:ilvl w:val="0"/>
          <w:numId w:val="4"/>
        </w:numPr>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8" w:name="_Toc30960"/>
      <w:bookmarkStart w:id="219" w:name="_Toc15805"/>
      <w:bookmarkStart w:id="220" w:name="_Toc28078_WPSOffice_Level2"/>
      <w:bookmarkStart w:id="221" w:name="_Toc10843_WPSOffice_Level2"/>
      <w:bookmarkStart w:id="222" w:name="_Toc3719_WPSOffice_Level2"/>
      <w:bookmarkStart w:id="223" w:name="_Toc4791"/>
      <w:bookmarkStart w:id="224" w:name="_Toc15316"/>
      <w:bookmarkStart w:id="225" w:name="_Toc34637772"/>
      <w:r>
        <w:rPr>
          <w:rFonts w:hint="eastAsia" w:ascii="黑体" w:hAnsi="黑体" w:eastAsia="黑体" w:cs="黑体"/>
          <w:b w:val="0"/>
          <w:bCs w:val="0"/>
          <w:kern w:val="2"/>
          <w:sz w:val="32"/>
          <w:szCs w:val="32"/>
          <w:highlight w:val="none"/>
          <w:lang w:val="en-US" w:eastAsia="zh-CN" w:bidi="ar-SA"/>
        </w:rPr>
        <w:t>其他规定</w:t>
      </w:r>
      <w:bookmarkEnd w:id="218"/>
      <w:bookmarkEnd w:id="219"/>
      <w:bookmarkEnd w:id="220"/>
      <w:bookmarkEnd w:id="221"/>
      <w:bookmarkEnd w:id="222"/>
      <w:bookmarkEnd w:id="223"/>
      <w:bookmarkEnd w:id="224"/>
      <w:bookmarkEnd w:id="225"/>
    </w:p>
    <w:p w14:paraId="57A6AEF0">
      <w:pPr>
        <w:pStyle w:val="28"/>
        <w:numPr>
          <w:ilvl w:val="0"/>
          <w:numId w:val="0"/>
        </w:numPr>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31.评标办法（综合评估法）</w:t>
      </w:r>
    </w:p>
    <w:p w14:paraId="387B0399">
      <w:pPr>
        <w:rPr>
          <w:rFonts w:hint="eastAsia"/>
          <w:sz w:val="36"/>
          <w:szCs w:val="44"/>
          <w:highlight w:val="white"/>
        </w:rPr>
      </w:pPr>
      <w:bookmarkStart w:id="226" w:name="_Toc98774474"/>
      <w:bookmarkStart w:id="227" w:name="_Toc256000019"/>
      <w:bookmarkStart w:id="228" w:name="_Toc16542"/>
      <w:r>
        <w:rPr>
          <w:rFonts w:hint="eastAsia"/>
          <w:sz w:val="36"/>
          <w:szCs w:val="44"/>
          <w:highlight w:val="white"/>
        </w:rPr>
        <w:br w:type="page"/>
      </w:r>
    </w:p>
    <w:p w14:paraId="08C0BDE4">
      <w:pPr>
        <w:pStyle w:val="8"/>
        <w:jc w:val="center"/>
        <w:rPr>
          <w:rFonts w:hint="eastAsia"/>
          <w:sz w:val="36"/>
          <w:szCs w:val="44"/>
          <w:highlight w:val="white"/>
        </w:rPr>
      </w:pPr>
      <w:r>
        <w:rPr>
          <w:rFonts w:hint="eastAsia"/>
          <w:sz w:val="36"/>
          <w:szCs w:val="44"/>
          <w:highlight w:val="white"/>
        </w:rPr>
        <w:t>评标办法前附表</w:t>
      </w:r>
      <w:bookmarkEnd w:id="226"/>
      <w:bookmarkEnd w:id="227"/>
      <w:bookmarkEnd w:id="228"/>
    </w:p>
    <w:tbl>
      <w:tblPr>
        <w:tblStyle w:val="21"/>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50"/>
        <w:gridCol w:w="2859"/>
        <w:gridCol w:w="3625"/>
      </w:tblGrid>
      <w:tr w14:paraId="2117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gridSpan w:val="2"/>
          </w:tcPr>
          <w:p w14:paraId="3D6576BE">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条款号</w:t>
            </w:r>
          </w:p>
        </w:tc>
        <w:tc>
          <w:tcPr>
            <w:tcW w:w="2859" w:type="dxa"/>
          </w:tcPr>
          <w:p w14:paraId="0CAABB46">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评审因素</w:t>
            </w:r>
          </w:p>
        </w:tc>
        <w:tc>
          <w:tcPr>
            <w:tcW w:w="3625" w:type="dxa"/>
          </w:tcPr>
          <w:p w14:paraId="4E31470A">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评审标准</w:t>
            </w:r>
          </w:p>
        </w:tc>
      </w:tr>
      <w:tr w14:paraId="74AB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6F76970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.1</w:t>
            </w:r>
          </w:p>
        </w:tc>
        <w:tc>
          <w:tcPr>
            <w:tcW w:w="2350" w:type="dxa"/>
            <w:vMerge w:val="restart"/>
            <w:vAlign w:val="center"/>
          </w:tcPr>
          <w:p w14:paraId="299446F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形式评审标准</w:t>
            </w:r>
          </w:p>
        </w:tc>
        <w:tc>
          <w:tcPr>
            <w:tcW w:w="2859" w:type="dxa"/>
            <w:vAlign w:val="top"/>
          </w:tcPr>
          <w:p w14:paraId="156E0D1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w:t>
            </w:r>
          </w:p>
        </w:tc>
        <w:tc>
          <w:tcPr>
            <w:tcW w:w="3625" w:type="dxa"/>
            <w:vAlign w:val="top"/>
          </w:tcPr>
          <w:p w14:paraId="3D26CBE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与统一社会信用代码证书、资质证书一致</w:t>
            </w:r>
          </w:p>
        </w:tc>
      </w:tr>
      <w:tr w14:paraId="41CA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678A522">
            <w:pPr>
              <w:rPr>
                <w:rFonts w:hint="eastAsia" w:ascii="仿宋_GB2312" w:hAnsi="仿宋_GB2312" w:eastAsia="仿宋_GB2312" w:cs="仿宋_GB2312"/>
                <w:sz w:val="28"/>
                <w:szCs w:val="28"/>
              </w:rPr>
            </w:pPr>
          </w:p>
        </w:tc>
        <w:tc>
          <w:tcPr>
            <w:tcW w:w="2350" w:type="dxa"/>
            <w:vMerge w:val="continue"/>
          </w:tcPr>
          <w:p w14:paraId="4B39F41F">
            <w:pPr>
              <w:rPr>
                <w:rFonts w:hint="eastAsia" w:ascii="仿宋_GB2312" w:hAnsi="仿宋_GB2312" w:eastAsia="仿宋_GB2312" w:cs="仿宋_GB2312"/>
                <w:sz w:val="28"/>
                <w:szCs w:val="28"/>
              </w:rPr>
            </w:pPr>
          </w:p>
        </w:tc>
        <w:tc>
          <w:tcPr>
            <w:tcW w:w="2859" w:type="dxa"/>
            <w:vAlign w:val="top"/>
          </w:tcPr>
          <w:p w14:paraId="7C3758E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投标函签字盖章</w:t>
            </w:r>
          </w:p>
        </w:tc>
        <w:tc>
          <w:tcPr>
            <w:tcW w:w="3625" w:type="dxa"/>
            <w:vAlign w:val="top"/>
          </w:tcPr>
          <w:p w14:paraId="0ED667B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有法定代表人或其委托代理人签字或加盖单位章</w:t>
            </w:r>
          </w:p>
        </w:tc>
      </w:tr>
      <w:tr w14:paraId="4AD3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63C4070">
            <w:pPr>
              <w:rPr>
                <w:rFonts w:hint="eastAsia" w:ascii="仿宋_GB2312" w:hAnsi="仿宋_GB2312" w:eastAsia="仿宋_GB2312" w:cs="仿宋_GB2312"/>
                <w:sz w:val="28"/>
                <w:szCs w:val="28"/>
              </w:rPr>
            </w:pPr>
          </w:p>
        </w:tc>
        <w:tc>
          <w:tcPr>
            <w:tcW w:w="2350" w:type="dxa"/>
            <w:vMerge w:val="continue"/>
          </w:tcPr>
          <w:p w14:paraId="19EE87B0">
            <w:pPr>
              <w:rPr>
                <w:rFonts w:hint="eastAsia" w:ascii="仿宋_GB2312" w:hAnsi="仿宋_GB2312" w:eastAsia="仿宋_GB2312" w:cs="仿宋_GB2312"/>
                <w:sz w:val="28"/>
                <w:szCs w:val="28"/>
              </w:rPr>
            </w:pPr>
          </w:p>
        </w:tc>
        <w:tc>
          <w:tcPr>
            <w:tcW w:w="2859" w:type="dxa"/>
            <w:vAlign w:val="top"/>
          </w:tcPr>
          <w:p w14:paraId="068A0A4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投标文件格式</w:t>
            </w:r>
          </w:p>
        </w:tc>
        <w:tc>
          <w:tcPr>
            <w:tcW w:w="3625" w:type="dxa"/>
            <w:vAlign w:val="top"/>
          </w:tcPr>
          <w:p w14:paraId="1D4ED51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符合“投标文件格式”的要求</w:t>
            </w:r>
          </w:p>
        </w:tc>
      </w:tr>
      <w:tr w14:paraId="4621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3DA3215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31.2</w:t>
            </w:r>
          </w:p>
        </w:tc>
        <w:tc>
          <w:tcPr>
            <w:tcW w:w="2350" w:type="dxa"/>
            <w:vMerge w:val="restart"/>
            <w:vAlign w:val="center"/>
          </w:tcPr>
          <w:p w14:paraId="771AA16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资格评审标准</w:t>
            </w:r>
          </w:p>
        </w:tc>
        <w:tc>
          <w:tcPr>
            <w:tcW w:w="2859" w:type="dxa"/>
            <w:vAlign w:val="top"/>
          </w:tcPr>
          <w:p w14:paraId="52864B1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统一社会信用代码证书</w:t>
            </w:r>
          </w:p>
        </w:tc>
        <w:tc>
          <w:tcPr>
            <w:tcW w:w="3625" w:type="dxa"/>
            <w:vAlign w:val="top"/>
          </w:tcPr>
          <w:p w14:paraId="0600684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具备有效的统一社会信用代码证书</w:t>
            </w:r>
          </w:p>
        </w:tc>
      </w:tr>
      <w:tr w14:paraId="0BE0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A16CDC1">
            <w:pPr>
              <w:rPr>
                <w:rFonts w:hint="eastAsia" w:ascii="仿宋_GB2312" w:hAnsi="仿宋_GB2312" w:eastAsia="仿宋_GB2312" w:cs="仿宋_GB2312"/>
                <w:sz w:val="28"/>
                <w:szCs w:val="28"/>
              </w:rPr>
            </w:pPr>
          </w:p>
        </w:tc>
        <w:tc>
          <w:tcPr>
            <w:tcW w:w="2350" w:type="dxa"/>
            <w:vMerge w:val="continue"/>
          </w:tcPr>
          <w:p w14:paraId="18958201">
            <w:pPr>
              <w:rPr>
                <w:rFonts w:hint="eastAsia" w:ascii="仿宋_GB2312" w:hAnsi="仿宋_GB2312" w:eastAsia="仿宋_GB2312" w:cs="仿宋_GB2312"/>
                <w:sz w:val="28"/>
                <w:szCs w:val="28"/>
              </w:rPr>
            </w:pPr>
          </w:p>
        </w:tc>
        <w:tc>
          <w:tcPr>
            <w:tcW w:w="2859" w:type="dxa"/>
            <w:vAlign w:val="top"/>
          </w:tcPr>
          <w:p w14:paraId="61A3107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资质等级</w:t>
            </w:r>
          </w:p>
        </w:tc>
        <w:tc>
          <w:tcPr>
            <w:tcW w:w="3625" w:type="dxa"/>
            <w:vAlign w:val="top"/>
          </w:tcPr>
          <w:p w14:paraId="5E211D9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77AF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5523A17">
            <w:pPr>
              <w:rPr>
                <w:rFonts w:hint="eastAsia" w:ascii="仿宋_GB2312" w:hAnsi="仿宋_GB2312" w:eastAsia="仿宋_GB2312" w:cs="仿宋_GB2312"/>
                <w:sz w:val="28"/>
                <w:szCs w:val="28"/>
              </w:rPr>
            </w:pPr>
          </w:p>
        </w:tc>
        <w:tc>
          <w:tcPr>
            <w:tcW w:w="2350" w:type="dxa"/>
            <w:vMerge w:val="continue"/>
          </w:tcPr>
          <w:p w14:paraId="15F8CF57">
            <w:pPr>
              <w:rPr>
                <w:rFonts w:hint="eastAsia" w:ascii="仿宋_GB2312" w:hAnsi="仿宋_GB2312" w:eastAsia="仿宋_GB2312" w:cs="仿宋_GB2312"/>
                <w:sz w:val="28"/>
                <w:szCs w:val="28"/>
              </w:rPr>
            </w:pPr>
          </w:p>
        </w:tc>
        <w:tc>
          <w:tcPr>
            <w:tcW w:w="2859" w:type="dxa"/>
            <w:vAlign w:val="top"/>
          </w:tcPr>
          <w:p w14:paraId="1D875DF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财务状况</w:t>
            </w:r>
          </w:p>
        </w:tc>
        <w:tc>
          <w:tcPr>
            <w:tcW w:w="3625" w:type="dxa"/>
            <w:vAlign w:val="top"/>
          </w:tcPr>
          <w:p w14:paraId="23E47CC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15ED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D83BA5D">
            <w:pPr>
              <w:rPr>
                <w:rFonts w:hint="eastAsia" w:ascii="仿宋_GB2312" w:hAnsi="仿宋_GB2312" w:eastAsia="仿宋_GB2312" w:cs="仿宋_GB2312"/>
                <w:sz w:val="28"/>
                <w:szCs w:val="28"/>
              </w:rPr>
            </w:pPr>
          </w:p>
        </w:tc>
        <w:tc>
          <w:tcPr>
            <w:tcW w:w="2350" w:type="dxa"/>
            <w:vMerge w:val="continue"/>
          </w:tcPr>
          <w:p w14:paraId="3B03E573">
            <w:pPr>
              <w:rPr>
                <w:rFonts w:hint="eastAsia" w:ascii="仿宋_GB2312" w:hAnsi="仿宋_GB2312" w:eastAsia="仿宋_GB2312" w:cs="仿宋_GB2312"/>
                <w:sz w:val="28"/>
                <w:szCs w:val="28"/>
              </w:rPr>
            </w:pPr>
          </w:p>
        </w:tc>
        <w:tc>
          <w:tcPr>
            <w:tcW w:w="2859" w:type="dxa"/>
            <w:vAlign w:val="top"/>
          </w:tcPr>
          <w:p w14:paraId="0D735AE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w:t>
            </w:r>
          </w:p>
        </w:tc>
        <w:tc>
          <w:tcPr>
            <w:tcW w:w="3625" w:type="dxa"/>
            <w:vAlign w:val="top"/>
          </w:tcPr>
          <w:p w14:paraId="6409EFF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1589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5" w:type="dxa"/>
            <w:vMerge w:val="continue"/>
          </w:tcPr>
          <w:p w14:paraId="5B888588">
            <w:pPr>
              <w:rPr>
                <w:rFonts w:hint="eastAsia" w:ascii="仿宋_GB2312" w:hAnsi="仿宋_GB2312" w:eastAsia="仿宋_GB2312" w:cs="仿宋_GB2312"/>
                <w:sz w:val="28"/>
                <w:szCs w:val="28"/>
              </w:rPr>
            </w:pPr>
          </w:p>
        </w:tc>
        <w:tc>
          <w:tcPr>
            <w:tcW w:w="2350" w:type="dxa"/>
            <w:vMerge w:val="continue"/>
          </w:tcPr>
          <w:p w14:paraId="564A2433">
            <w:pPr>
              <w:rPr>
                <w:rFonts w:hint="eastAsia" w:ascii="仿宋_GB2312" w:hAnsi="仿宋_GB2312" w:eastAsia="仿宋_GB2312" w:cs="仿宋_GB2312"/>
                <w:sz w:val="28"/>
                <w:szCs w:val="28"/>
              </w:rPr>
            </w:pPr>
          </w:p>
        </w:tc>
        <w:tc>
          <w:tcPr>
            <w:tcW w:w="2859" w:type="dxa"/>
            <w:vAlign w:val="top"/>
          </w:tcPr>
          <w:p w14:paraId="3EF04E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其他要求</w:t>
            </w:r>
          </w:p>
        </w:tc>
        <w:tc>
          <w:tcPr>
            <w:tcW w:w="3625" w:type="dxa"/>
            <w:vAlign w:val="top"/>
          </w:tcPr>
          <w:p w14:paraId="4936557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6E2F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57DAF70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31.3</w:t>
            </w:r>
          </w:p>
        </w:tc>
        <w:tc>
          <w:tcPr>
            <w:tcW w:w="2350" w:type="dxa"/>
            <w:vMerge w:val="restart"/>
            <w:vAlign w:val="center"/>
          </w:tcPr>
          <w:p w14:paraId="055CE9FF">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响应性评审标准</w:t>
            </w:r>
          </w:p>
        </w:tc>
        <w:tc>
          <w:tcPr>
            <w:tcW w:w="2859" w:type="dxa"/>
            <w:vAlign w:val="top"/>
          </w:tcPr>
          <w:p w14:paraId="51DDD81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w:t>
            </w:r>
          </w:p>
        </w:tc>
        <w:tc>
          <w:tcPr>
            <w:tcW w:w="3625" w:type="dxa"/>
            <w:vAlign w:val="top"/>
          </w:tcPr>
          <w:p w14:paraId="3953F7D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747A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641A773">
            <w:pPr>
              <w:rPr>
                <w:rFonts w:hint="eastAsia" w:ascii="仿宋_GB2312" w:hAnsi="仿宋_GB2312" w:eastAsia="仿宋_GB2312" w:cs="仿宋_GB2312"/>
                <w:sz w:val="28"/>
                <w:szCs w:val="28"/>
              </w:rPr>
            </w:pPr>
          </w:p>
        </w:tc>
        <w:tc>
          <w:tcPr>
            <w:tcW w:w="2350" w:type="dxa"/>
            <w:vMerge w:val="continue"/>
          </w:tcPr>
          <w:p w14:paraId="26AA00C0">
            <w:pPr>
              <w:rPr>
                <w:rFonts w:hint="eastAsia" w:ascii="仿宋_GB2312" w:hAnsi="仿宋_GB2312" w:eastAsia="仿宋_GB2312" w:cs="仿宋_GB2312"/>
                <w:sz w:val="28"/>
                <w:szCs w:val="28"/>
              </w:rPr>
            </w:pPr>
          </w:p>
        </w:tc>
        <w:tc>
          <w:tcPr>
            <w:tcW w:w="2859" w:type="dxa"/>
            <w:vAlign w:val="top"/>
          </w:tcPr>
          <w:p w14:paraId="15F1BFB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投标内容</w:t>
            </w:r>
          </w:p>
        </w:tc>
        <w:tc>
          <w:tcPr>
            <w:tcW w:w="3625" w:type="dxa"/>
            <w:vAlign w:val="top"/>
          </w:tcPr>
          <w:p w14:paraId="5C1BCF1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谈判文件</w:t>
            </w:r>
            <w:r>
              <w:rPr>
                <w:rFonts w:hint="eastAsia" w:ascii="仿宋_GB2312" w:hAnsi="仿宋_GB2312" w:eastAsia="仿宋_GB2312" w:cs="仿宋_GB2312"/>
                <w:sz w:val="28"/>
                <w:szCs w:val="28"/>
              </w:rPr>
              <w:t>规定</w:t>
            </w:r>
          </w:p>
        </w:tc>
      </w:tr>
      <w:tr w14:paraId="0187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134AA17F">
            <w:pPr>
              <w:rPr>
                <w:rFonts w:hint="eastAsia" w:ascii="仿宋_GB2312" w:hAnsi="仿宋_GB2312" w:eastAsia="仿宋_GB2312" w:cs="仿宋_GB2312"/>
                <w:sz w:val="28"/>
                <w:szCs w:val="28"/>
              </w:rPr>
            </w:pPr>
          </w:p>
        </w:tc>
        <w:tc>
          <w:tcPr>
            <w:tcW w:w="2350" w:type="dxa"/>
            <w:vMerge w:val="continue"/>
          </w:tcPr>
          <w:p w14:paraId="07DE5EBC">
            <w:pPr>
              <w:rPr>
                <w:rFonts w:hint="eastAsia" w:ascii="仿宋_GB2312" w:hAnsi="仿宋_GB2312" w:eastAsia="仿宋_GB2312" w:cs="仿宋_GB2312"/>
                <w:sz w:val="28"/>
                <w:szCs w:val="28"/>
              </w:rPr>
            </w:pPr>
          </w:p>
        </w:tc>
        <w:tc>
          <w:tcPr>
            <w:tcW w:w="2859" w:type="dxa"/>
            <w:vAlign w:val="top"/>
          </w:tcPr>
          <w:p w14:paraId="0E8F379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工期</w:t>
            </w:r>
          </w:p>
        </w:tc>
        <w:tc>
          <w:tcPr>
            <w:tcW w:w="3625" w:type="dxa"/>
            <w:vAlign w:val="top"/>
          </w:tcPr>
          <w:p w14:paraId="7257DE3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谈判文件</w:t>
            </w:r>
            <w:r>
              <w:rPr>
                <w:rFonts w:hint="eastAsia" w:ascii="仿宋_GB2312" w:hAnsi="仿宋_GB2312" w:eastAsia="仿宋_GB2312" w:cs="仿宋_GB2312"/>
                <w:sz w:val="28"/>
                <w:szCs w:val="28"/>
              </w:rPr>
              <w:t>规定</w:t>
            </w:r>
          </w:p>
        </w:tc>
      </w:tr>
      <w:tr w14:paraId="7165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4BF9DC8">
            <w:pPr>
              <w:rPr>
                <w:rFonts w:hint="eastAsia" w:ascii="仿宋_GB2312" w:hAnsi="仿宋_GB2312" w:eastAsia="仿宋_GB2312" w:cs="仿宋_GB2312"/>
                <w:sz w:val="28"/>
                <w:szCs w:val="28"/>
              </w:rPr>
            </w:pPr>
          </w:p>
        </w:tc>
        <w:tc>
          <w:tcPr>
            <w:tcW w:w="2350" w:type="dxa"/>
            <w:vMerge w:val="continue"/>
          </w:tcPr>
          <w:p w14:paraId="1CD1783D">
            <w:pPr>
              <w:rPr>
                <w:rFonts w:hint="eastAsia" w:ascii="仿宋_GB2312" w:hAnsi="仿宋_GB2312" w:eastAsia="仿宋_GB2312" w:cs="仿宋_GB2312"/>
                <w:sz w:val="28"/>
                <w:szCs w:val="28"/>
              </w:rPr>
            </w:pPr>
          </w:p>
        </w:tc>
        <w:tc>
          <w:tcPr>
            <w:tcW w:w="2859" w:type="dxa"/>
            <w:vAlign w:val="top"/>
          </w:tcPr>
          <w:p w14:paraId="0C7148A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质量标准</w:t>
            </w:r>
          </w:p>
        </w:tc>
        <w:tc>
          <w:tcPr>
            <w:tcW w:w="3625" w:type="dxa"/>
            <w:vAlign w:val="top"/>
          </w:tcPr>
          <w:p w14:paraId="55E6550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谈判须知前附表</w:t>
            </w:r>
            <w:r>
              <w:rPr>
                <w:rFonts w:hint="eastAsia" w:ascii="仿宋_GB2312" w:hAnsi="仿宋_GB2312" w:eastAsia="仿宋_GB2312" w:cs="仿宋_GB2312"/>
                <w:sz w:val="28"/>
                <w:szCs w:val="28"/>
              </w:rPr>
              <w:t>规定</w:t>
            </w:r>
          </w:p>
        </w:tc>
      </w:tr>
      <w:tr w14:paraId="0AA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0EFE30D">
            <w:pPr>
              <w:rPr>
                <w:rFonts w:hint="eastAsia" w:ascii="仿宋_GB2312" w:hAnsi="仿宋_GB2312" w:eastAsia="仿宋_GB2312" w:cs="仿宋_GB2312"/>
                <w:sz w:val="28"/>
                <w:szCs w:val="28"/>
              </w:rPr>
            </w:pPr>
          </w:p>
        </w:tc>
        <w:tc>
          <w:tcPr>
            <w:tcW w:w="2350" w:type="dxa"/>
            <w:vMerge w:val="continue"/>
          </w:tcPr>
          <w:p w14:paraId="60528A6A">
            <w:pPr>
              <w:rPr>
                <w:rFonts w:hint="eastAsia" w:ascii="仿宋_GB2312" w:hAnsi="仿宋_GB2312" w:eastAsia="仿宋_GB2312" w:cs="仿宋_GB2312"/>
                <w:sz w:val="28"/>
                <w:szCs w:val="28"/>
              </w:rPr>
            </w:pPr>
          </w:p>
        </w:tc>
        <w:tc>
          <w:tcPr>
            <w:tcW w:w="2859" w:type="dxa"/>
            <w:vAlign w:val="top"/>
          </w:tcPr>
          <w:p w14:paraId="3237FFC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3625" w:type="dxa"/>
            <w:vAlign w:val="top"/>
          </w:tcPr>
          <w:p w14:paraId="06A523B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谈判文件</w:t>
            </w:r>
            <w:r>
              <w:rPr>
                <w:rFonts w:hint="eastAsia" w:ascii="仿宋_GB2312" w:hAnsi="仿宋_GB2312" w:eastAsia="仿宋_GB2312" w:cs="仿宋_GB2312"/>
                <w:sz w:val="28"/>
                <w:szCs w:val="28"/>
              </w:rPr>
              <w:t>规定</w:t>
            </w:r>
          </w:p>
        </w:tc>
      </w:tr>
    </w:tbl>
    <w:p w14:paraId="7B44DE77">
      <w:pPr>
        <w:rPr>
          <w:rFonts w:hint="eastAsia"/>
        </w:rPr>
      </w:pPr>
    </w:p>
    <w:tbl>
      <w:tblPr>
        <w:tblStyle w:val="20"/>
        <w:tblW w:w="52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770"/>
        <w:gridCol w:w="6542"/>
      </w:tblGrid>
      <w:tr w14:paraId="03F2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noWrap w:val="0"/>
            <w:vAlign w:val="top"/>
          </w:tcPr>
          <w:p w14:paraId="76CDC87A">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4"/>
                <w:szCs w:val="24"/>
              </w:rPr>
            </w:pPr>
            <w:bookmarkStart w:id="229" w:name="_Toc27699_WPSOffice_Level3"/>
            <w:bookmarkStart w:id="230" w:name="_Toc14580"/>
            <w:bookmarkStart w:id="231" w:name="_Toc26722"/>
            <w:bookmarkStart w:id="232" w:name="_Toc1461_WPSOffice_Level3"/>
            <w:bookmarkStart w:id="233" w:name="_Toc18975"/>
            <w:r>
              <w:rPr>
                <w:rFonts w:hint="eastAsia" w:ascii="仿宋_GB2312" w:hAnsi="仿宋_GB2312" w:eastAsia="仿宋_GB2312" w:cs="仿宋_GB2312"/>
                <w:b/>
                <w:bCs/>
                <w:sz w:val="24"/>
                <w:szCs w:val="24"/>
              </w:rPr>
              <w:t>内容</w:t>
            </w:r>
          </w:p>
        </w:tc>
        <w:tc>
          <w:tcPr>
            <w:tcW w:w="3371" w:type="pct"/>
            <w:shd w:val="clear" w:color="auto" w:fill="7E7E7E" w:themeFill="background1" w:themeFillShade="7F"/>
            <w:noWrap w:val="0"/>
            <w:vAlign w:val="top"/>
          </w:tcPr>
          <w:p w14:paraId="5A1E203F">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编列内容</w:t>
            </w:r>
          </w:p>
        </w:tc>
      </w:tr>
      <w:tr w14:paraId="29BA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noWrap w:val="0"/>
            <w:vAlign w:val="top"/>
          </w:tcPr>
          <w:p w14:paraId="6ABBC8C2">
            <w:pPr>
              <w:keepNext w:val="0"/>
              <w:keepLines w:val="0"/>
              <w:pageBreakBefore w:val="0"/>
              <w:widowControl w:val="0"/>
              <w:kinsoku/>
              <w:wordWrap/>
              <w:overflowPunct/>
              <w:topLinePunct w:val="0"/>
              <w:bidi w:val="0"/>
              <w:snapToGrid/>
              <w:spacing w:line="40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分值构成</w:t>
            </w:r>
          </w:p>
          <w:p w14:paraId="1449F8A6">
            <w:pPr>
              <w:keepNext w:val="0"/>
              <w:keepLines w:val="0"/>
              <w:pageBreakBefore w:val="0"/>
              <w:widowControl w:val="0"/>
              <w:kinsoku/>
              <w:wordWrap/>
              <w:overflowPunct/>
              <w:topLinePunct w:val="0"/>
              <w:bidi w:val="0"/>
              <w:snapToGrid/>
              <w:spacing w:line="40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(总分100 分)</w:t>
            </w:r>
          </w:p>
        </w:tc>
        <w:tc>
          <w:tcPr>
            <w:tcW w:w="3371" w:type="pct"/>
            <w:noWrap w:val="0"/>
            <w:vAlign w:val="top"/>
          </w:tcPr>
          <w:p w14:paraId="04A56D02">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val="en-US" w:eastAsia="zh-CN"/>
              </w:rPr>
              <w:t>商务技术部分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60</w:t>
            </w:r>
            <w:r>
              <w:rPr>
                <w:rFonts w:hint="eastAsia" w:ascii="仿宋_GB2312" w:hAnsi="仿宋_GB2312" w:eastAsia="仿宋_GB2312" w:cs="仿宋_GB2312"/>
                <w:sz w:val="28"/>
                <w:szCs w:val="28"/>
                <w:highlight w:val="none"/>
              </w:rPr>
              <w:t>分</w:t>
            </w:r>
          </w:p>
          <w:p w14:paraId="159DAC83">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报价部分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40</w:t>
            </w:r>
            <w:r>
              <w:rPr>
                <w:rFonts w:hint="eastAsia" w:ascii="仿宋_GB2312" w:hAnsi="仿宋_GB2312" w:eastAsia="仿宋_GB2312" w:cs="仿宋_GB2312"/>
                <w:sz w:val="28"/>
                <w:szCs w:val="28"/>
                <w:highlight w:val="none"/>
              </w:rPr>
              <w:t xml:space="preserve">分              </w:t>
            </w:r>
          </w:p>
        </w:tc>
      </w:tr>
      <w:tr w14:paraId="65B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noWrap w:val="0"/>
            <w:vAlign w:val="top"/>
          </w:tcPr>
          <w:p w14:paraId="4F51408C">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评分因素</w:t>
            </w:r>
          </w:p>
        </w:tc>
        <w:tc>
          <w:tcPr>
            <w:tcW w:w="3371" w:type="pct"/>
            <w:shd w:val="clear" w:color="auto" w:fill="7E7E7E" w:themeFill="background1" w:themeFillShade="7F"/>
            <w:noWrap w:val="0"/>
            <w:vAlign w:val="top"/>
          </w:tcPr>
          <w:p w14:paraId="3214FCFA">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w:t>
            </w:r>
          </w:p>
        </w:tc>
      </w:tr>
      <w:tr w14:paraId="546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5" w:type="pct"/>
            <w:vMerge w:val="restart"/>
            <w:noWrap w:val="0"/>
            <w:vAlign w:val="center"/>
          </w:tcPr>
          <w:p w14:paraId="3F72C27E">
            <w:pPr>
              <w:keepNext w:val="0"/>
              <w:keepLines w:val="0"/>
              <w:pageBreakBefore w:val="0"/>
              <w:widowControl w:val="0"/>
              <w:kinsoku/>
              <w:wordWrap/>
              <w:overflowPunct/>
              <w:topLinePunct w:val="0"/>
              <w:bidi w:val="0"/>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 w:hAnsi="仿宋" w:eastAsia="仿宋" w:cs="仿宋"/>
                <w:color w:val="000000"/>
                <w:spacing w:val="9"/>
                <w:kern w:val="2"/>
                <w:sz w:val="20"/>
                <w:szCs w:val="20"/>
                <w:lang w:val="en-US" w:eastAsia="zh-CN" w:bidi="ar-SA"/>
              </w:rPr>
              <w:t>商务技术部分（60分）</w:t>
            </w:r>
          </w:p>
        </w:tc>
        <w:tc>
          <w:tcPr>
            <w:tcW w:w="912" w:type="pct"/>
            <w:noWrap w:val="0"/>
            <w:vAlign w:val="center"/>
          </w:tcPr>
          <w:p w14:paraId="1ACD5A33">
            <w:pPr>
              <w:pStyle w:val="46"/>
              <w:spacing w:before="32" w:line="241" w:lineRule="auto"/>
              <w:ind w:left="120" w:right="103" w:firstLine="8"/>
              <w:rPr>
                <w:rFonts w:hint="eastAsia"/>
                <w:color w:val="000000"/>
                <w:spacing w:val="1"/>
                <w:lang w:eastAsia="zh-CN"/>
              </w:rPr>
            </w:pPr>
            <w:r>
              <w:rPr>
                <w:rFonts w:hint="eastAsia"/>
                <w:color w:val="000000"/>
                <w:spacing w:val="1"/>
                <w:lang w:val="en-US" w:eastAsia="zh-CN"/>
              </w:rPr>
              <w:t>业绩</w:t>
            </w:r>
            <w:r>
              <w:rPr>
                <w:rFonts w:hint="eastAsia"/>
                <w:color w:val="000000"/>
                <w:spacing w:val="1"/>
                <w:lang w:eastAsia="zh-CN"/>
              </w:rPr>
              <w:t>（</w:t>
            </w:r>
            <w:r>
              <w:rPr>
                <w:rFonts w:hint="eastAsia"/>
                <w:color w:val="000000"/>
                <w:spacing w:val="1"/>
                <w:lang w:val="en-US" w:eastAsia="zh-CN"/>
              </w:rPr>
              <w:t>15分</w:t>
            </w:r>
            <w:r>
              <w:rPr>
                <w:rFonts w:hint="eastAsia"/>
                <w:color w:val="000000"/>
                <w:spacing w:val="1"/>
                <w:lang w:eastAsia="zh-CN"/>
              </w:rPr>
              <w:t>）</w:t>
            </w:r>
          </w:p>
        </w:tc>
        <w:tc>
          <w:tcPr>
            <w:tcW w:w="3371" w:type="pct"/>
            <w:noWrap w:val="0"/>
            <w:vAlign w:val="top"/>
          </w:tcPr>
          <w:p w14:paraId="38388B17">
            <w:pPr>
              <w:pStyle w:val="46"/>
              <w:spacing w:before="32" w:line="241" w:lineRule="auto"/>
              <w:ind w:right="103"/>
              <w:rPr>
                <w:rFonts w:hint="eastAsia"/>
                <w:color w:val="000000"/>
                <w:spacing w:val="1"/>
                <w:lang w:eastAsia="zh-CN"/>
              </w:rPr>
            </w:pPr>
            <w:r>
              <w:rPr>
                <w:rFonts w:hint="eastAsia"/>
                <w:color w:val="000000"/>
                <w:spacing w:val="1"/>
                <w:lang w:eastAsia="zh-CN"/>
              </w:rPr>
              <w:t>202</w:t>
            </w:r>
            <w:r>
              <w:rPr>
                <w:rFonts w:hint="eastAsia"/>
                <w:color w:val="000000"/>
                <w:spacing w:val="1"/>
                <w:lang w:val="en-US" w:eastAsia="zh-CN"/>
              </w:rPr>
              <w:t>1</w:t>
            </w:r>
            <w:r>
              <w:rPr>
                <w:rFonts w:hint="eastAsia"/>
                <w:color w:val="000000"/>
                <w:spacing w:val="1"/>
                <w:lang w:eastAsia="zh-CN"/>
              </w:rPr>
              <w:t>年 1 月 1 日以来（以合同签订时间为准），具有</w:t>
            </w:r>
            <w:r>
              <w:rPr>
                <w:rFonts w:hint="eastAsia"/>
                <w:color w:val="000000"/>
                <w:spacing w:val="1"/>
                <w:lang w:val="en-US" w:eastAsia="zh-CN"/>
              </w:rPr>
              <w:t>锅炉维修</w:t>
            </w:r>
            <w:r>
              <w:rPr>
                <w:rFonts w:hint="eastAsia"/>
                <w:color w:val="000000"/>
                <w:spacing w:val="1"/>
                <w:lang w:eastAsia="zh-CN"/>
              </w:rPr>
              <w:t xml:space="preserve">业绩，每提供一个得 </w:t>
            </w:r>
            <w:r>
              <w:rPr>
                <w:rFonts w:hint="eastAsia"/>
                <w:color w:val="000000"/>
                <w:spacing w:val="1"/>
                <w:lang w:val="en-US" w:eastAsia="zh-CN"/>
              </w:rPr>
              <w:t>3</w:t>
            </w:r>
            <w:r>
              <w:rPr>
                <w:rFonts w:hint="eastAsia"/>
                <w:color w:val="000000"/>
                <w:spacing w:val="1"/>
                <w:lang w:eastAsia="zh-CN"/>
              </w:rPr>
              <w:t>分，最高 1</w:t>
            </w:r>
            <w:r>
              <w:rPr>
                <w:rFonts w:hint="eastAsia"/>
                <w:color w:val="000000"/>
                <w:spacing w:val="1"/>
                <w:lang w:val="en-US" w:eastAsia="zh-CN"/>
              </w:rPr>
              <w:t>5</w:t>
            </w:r>
            <w:r>
              <w:rPr>
                <w:rFonts w:hint="eastAsia"/>
                <w:color w:val="000000"/>
                <w:spacing w:val="1"/>
                <w:lang w:eastAsia="zh-CN"/>
              </w:rPr>
              <w:t>分。</w:t>
            </w:r>
          </w:p>
          <w:p w14:paraId="543D1FCE">
            <w:pPr>
              <w:pStyle w:val="46"/>
              <w:spacing w:before="32" w:line="241" w:lineRule="auto"/>
              <w:ind w:right="103"/>
              <w:rPr>
                <w:rFonts w:hint="eastAsia"/>
                <w:color w:val="000000"/>
                <w:spacing w:val="1"/>
                <w:lang w:eastAsia="zh-CN"/>
              </w:rPr>
            </w:pPr>
            <w:r>
              <w:rPr>
                <w:rFonts w:hint="eastAsia"/>
                <w:color w:val="000000"/>
                <w:spacing w:val="1"/>
                <w:lang w:eastAsia="zh-CN"/>
              </w:rPr>
              <w:t>注：须提供业绩合同</w:t>
            </w:r>
            <w:r>
              <w:rPr>
                <w:rFonts w:hint="eastAsia"/>
                <w:color w:val="000000"/>
                <w:spacing w:val="1"/>
                <w:lang w:val="en-US" w:eastAsia="zh-CN"/>
              </w:rPr>
              <w:t>或中标通知书等证明材料</w:t>
            </w:r>
            <w:r>
              <w:rPr>
                <w:rFonts w:hint="eastAsia"/>
                <w:color w:val="000000"/>
                <w:spacing w:val="1"/>
                <w:lang w:eastAsia="zh-CN"/>
              </w:rPr>
              <w:t>。</w:t>
            </w:r>
          </w:p>
        </w:tc>
      </w:tr>
      <w:tr w14:paraId="3979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5" w:type="pct"/>
            <w:vMerge w:val="continue"/>
            <w:noWrap w:val="0"/>
            <w:vAlign w:val="center"/>
          </w:tcPr>
          <w:p w14:paraId="1BB1B83C">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1431EBBF">
            <w:pPr>
              <w:pStyle w:val="46"/>
              <w:spacing w:before="32" w:line="241" w:lineRule="auto"/>
              <w:ind w:right="103"/>
              <w:rPr>
                <w:rFonts w:hint="eastAsia"/>
                <w:color w:val="000000"/>
                <w:spacing w:val="1"/>
                <w:lang w:val="en-US" w:eastAsia="zh-CN"/>
              </w:rPr>
            </w:pPr>
            <w:r>
              <w:rPr>
                <w:rFonts w:hint="eastAsia"/>
                <w:color w:val="000000"/>
                <w:spacing w:val="1"/>
                <w:lang w:val="en-US" w:eastAsia="zh-CN"/>
              </w:rPr>
              <w:t>售后服务（7分）</w:t>
            </w:r>
          </w:p>
        </w:tc>
        <w:tc>
          <w:tcPr>
            <w:tcW w:w="3371" w:type="pct"/>
            <w:noWrap w:val="0"/>
            <w:vAlign w:val="top"/>
          </w:tcPr>
          <w:p w14:paraId="335BE87B">
            <w:pPr>
              <w:pStyle w:val="46"/>
              <w:spacing w:before="32" w:line="241" w:lineRule="auto"/>
              <w:ind w:right="103"/>
              <w:rPr>
                <w:rFonts w:hint="eastAsia"/>
                <w:color w:val="000000"/>
                <w:spacing w:val="1"/>
                <w:lang w:eastAsia="zh-CN"/>
              </w:rPr>
            </w:pPr>
            <w:r>
              <w:rPr>
                <w:rFonts w:hint="eastAsia"/>
                <w:color w:val="000000"/>
                <w:spacing w:val="1"/>
                <w:lang w:eastAsia="zh-CN"/>
              </w:rPr>
              <w:t xml:space="preserve">提供详细的售后服务方案，包括响应时间、定期回访等，且方案切实可行，得 </w:t>
            </w:r>
            <w:r>
              <w:rPr>
                <w:rFonts w:hint="eastAsia"/>
                <w:color w:val="000000"/>
                <w:spacing w:val="1"/>
                <w:lang w:val="en-US" w:eastAsia="zh-CN"/>
              </w:rPr>
              <w:t>5</w:t>
            </w:r>
            <w:r>
              <w:rPr>
                <w:rFonts w:hint="eastAsia"/>
                <w:color w:val="000000"/>
                <w:spacing w:val="1"/>
                <w:lang w:eastAsia="zh-CN"/>
              </w:rPr>
              <w:t xml:space="preserve"> - </w:t>
            </w:r>
            <w:r>
              <w:rPr>
                <w:rFonts w:hint="eastAsia"/>
                <w:color w:val="000000"/>
                <w:spacing w:val="1"/>
                <w:lang w:val="en-US" w:eastAsia="zh-CN"/>
              </w:rPr>
              <w:t>7</w:t>
            </w:r>
            <w:r>
              <w:rPr>
                <w:rFonts w:hint="eastAsia"/>
                <w:color w:val="000000"/>
                <w:spacing w:val="1"/>
                <w:lang w:eastAsia="zh-CN"/>
              </w:rPr>
              <w:t xml:space="preserve">分；方案较简单，得 </w:t>
            </w:r>
            <w:r>
              <w:rPr>
                <w:rFonts w:hint="eastAsia"/>
                <w:color w:val="000000"/>
                <w:spacing w:val="1"/>
                <w:lang w:val="en-US" w:eastAsia="zh-CN"/>
              </w:rPr>
              <w:t>2</w:t>
            </w:r>
            <w:r>
              <w:rPr>
                <w:rFonts w:hint="eastAsia"/>
                <w:color w:val="000000"/>
                <w:spacing w:val="1"/>
                <w:lang w:eastAsia="zh-CN"/>
              </w:rPr>
              <w:t xml:space="preserve"> - </w:t>
            </w:r>
            <w:r>
              <w:rPr>
                <w:rFonts w:hint="eastAsia"/>
                <w:color w:val="000000"/>
                <w:spacing w:val="1"/>
                <w:lang w:val="en-US" w:eastAsia="zh-CN"/>
              </w:rPr>
              <w:t>4</w:t>
            </w:r>
            <w:r>
              <w:rPr>
                <w:rFonts w:hint="eastAsia"/>
                <w:color w:val="000000"/>
                <w:spacing w:val="1"/>
                <w:lang w:eastAsia="zh-CN"/>
              </w:rPr>
              <w:t>分；方案不完整或不可行，得 0 - 1分。</w:t>
            </w:r>
          </w:p>
        </w:tc>
      </w:tr>
      <w:tr w14:paraId="5FF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5736B167">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1F7DFD39">
            <w:pPr>
              <w:pStyle w:val="46"/>
              <w:spacing w:before="32" w:line="241" w:lineRule="auto"/>
              <w:ind w:right="103"/>
              <w:rPr>
                <w:rFonts w:hint="eastAsia"/>
                <w:color w:val="000000"/>
                <w:spacing w:val="1"/>
                <w:lang w:eastAsia="zh-CN"/>
              </w:rPr>
            </w:pPr>
            <w:r>
              <w:rPr>
                <w:rFonts w:hint="eastAsia"/>
                <w:color w:val="000000"/>
                <w:spacing w:val="1"/>
                <w:lang w:val="en-US" w:eastAsia="zh-CN"/>
              </w:rPr>
              <w:t>人员配备</w:t>
            </w:r>
            <w:r>
              <w:rPr>
                <w:rFonts w:hint="eastAsia"/>
                <w:color w:val="000000"/>
                <w:spacing w:val="1"/>
                <w:lang w:eastAsia="zh-CN"/>
              </w:rPr>
              <w:t>（</w:t>
            </w:r>
            <w:r>
              <w:rPr>
                <w:rFonts w:hint="eastAsia"/>
                <w:color w:val="000000"/>
                <w:spacing w:val="1"/>
                <w:lang w:val="en-US" w:eastAsia="zh-CN"/>
              </w:rPr>
              <w:t>10分</w:t>
            </w:r>
            <w:r>
              <w:rPr>
                <w:rFonts w:hint="eastAsia"/>
                <w:color w:val="000000"/>
                <w:spacing w:val="1"/>
                <w:lang w:eastAsia="zh-CN"/>
              </w:rPr>
              <w:t>）</w:t>
            </w:r>
          </w:p>
        </w:tc>
        <w:tc>
          <w:tcPr>
            <w:tcW w:w="3371" w:type="pct"/>
            <w:noWrap w:val="0"/>
            <w:vAlign w:val="top"/>
          </w:tcPr>
          <w:p w14:paraId="075674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jc w:val="left"/>
              <w:textAlignment w:val="auto"/>
              <w:rPr>
                <w:rFonts w:hint="eastAsia" w:ascii="仿宋" w:hAnsi="仿宋" w:eastAsia="仿宋" w:cs="仿宋"/>
                <w:color w:val="000000"/>
                <w:spacing w:val="1"/>
                <w:kern w:val="2"/>
                <w:sz w:val="20"/>
                <w:szCs w:val="20"/>
                <w:lang w:val="en-US" w:eastAsia="zh-CN" w:bidi="ar-SA"/>
              </w:rPr>
            </w:pPr>
            <w:r>
              <w:rPr>
                <w:rFonts w:hint="eastAsia" w:ascii="仿宋" w:hAnsi="仿宋" w:eastAsia="仿宋" w:cs="仿宋"/>
                <w:color w:val="000000"/>
                <w:spacing w:val="1"/>
                <w:kern w:val="2"/>
                <w:sz w:val="20"/>
                <w:szCs w:val="20"/>
                <w:lang w:val="en-US" w:eastAsia="zh-CN" w:bidi="ar-SA"/>
              </w:rPr>
              <w:t>项目经理资质和经验（5 分）：项目经理具有高级工程师职称，且有丰富的类似锅炉维修项目管理经验，得 4 - 5 分；中级职称且经验较丰富，得 2 - 3 分；职称较低或经验不足，得 0 - 1 分。</w:t>
            </w:r>
          </w:p>
          <w:p w14:paraId="07D158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jc w:val="left"/>
              <w:textAlignment w:val="auto"/>
              <w:rPr>
                <w:rFonts w:hint="default" w:ascii="仿宋" w:hAnsi="仿宋" w:eastAsia="仿宋" w:cs="仿宋"/>
                <w:color w:val="000000"/>
                <w:spacing w:val="1"/>
                <w:kern w:val="2"/>
                <w:sz w:val="20"/>
                <w:szCs w:val="20"/>
                <w:lang w:val="en-US" w:eastAsia="zh-CN" w:bidi="ar-SA"/>
              </w:rPr>
            </w:pPr>
            <w:r>
              <w:rPr>
                <w:rFonts w:hint="default" w:ascii="仿宋" w:hAnsi="仿宋" w:eastAsia="仿宋" w:cs="仿宋"/>
                <w:color w:val="000000"/>
                <w:spacing w:val="1"/>
                <w:kern w:val="2"/>
                <w:sz w:val="20"/>
                <w:szCs w:val="20"/>
                <w:lang w:val="en-US" w:eastAsia="zh-CN" w:bidi="ar-SA"/>
              </w:rPr>
              <w:t>维修团队技术能力（5 分）：团队成员具备相关专业资质证书，且人员结构合理、技术能力强，得 4 - 5 分；部分成员有资质，技术能力一般，得 2 - 3 分；团队资质和能力不足，得 0 - 1 分。</w:t>
            </w:r>
          </w:p>
          <w:p w14:paraId="48F107EF">
            <w:pPr>
              <w:pStyle w:val="2"/>
              <w:rPr>
                <w:rFonts w:hint="default"/>
                <w:lang w:val="en-US" w:eastAsia="zh-CN"/>
              </w:rPr>
            </w:pPr>
            <w:r>
              <w:rPr>
                <w:rFonts w:hint="eastAsia" w:ascii="仿宋" w:hAnsi="仿宋" w:eastAsia="仿宋" w:cs="仿宋"/>
                <w:color w:val="000000"/>
                <w:spacing w:val="1"/>
                <w:kern w:val="2"/>
                <w:sz w:val="20"/>
                <w:szCs w:val="20"/>
                <w:lang w:val="en-US" w:eastAsia="zh-CN" w:bidi="ar-SA"/>
              </w:rPr>
              <w:t>注：需提供相关证书、业绩证明。</w:t>
            </w:r>
          </w:p>
        </w:tc>
      </w:tr>
      <w:tr w14:paraId="53F6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081D8CD0">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6541A860">
            <w:pPr>
              <w:pStyle w:val="46"/>
              <w:spacing w:before="32" w:line="241" w:lineRule="auto"/>
              <w:ind w:right="103"/>
              <w:rPr>
                <w:rFonts w:hint="default"/>
                <w:color w:val="000000"/>
                <w:spacing w:val="1"/>
                <w:lang w:val="en-US" w:eastAsia="zh-CN"/>
              </w:rPr>
            </w:pPr>
            <w:r>
              <w:rPr>
                <w:rFonts w:hint="eastAsia"/>
                <w:color w:val="000000"/>
                <w:spacing w:val="1"/>
                <w:lang w:val="en-US" w:eastAsia="zh-CN"/>
              </w:rPr>
              <w:t>维修方案（10分）</w:t>
            </w:r>
          </w:p>
        </w:tc>
        <w:tc>
          <w:tcPr>
            <w:tcW w:w="3371" w:type="pct"/>
            <w:noWrap w:val="0"/>
            <w:vAlign w:val="top"/>
          </w:tcPr>
          <w:p w14:paraId="1137EF88">
            <w:pPr>
              <w:pStyle w:val="46"/>
              <w:spacing w:before="32" w:line="241" w:lineRule="auto"/>
              <w:ind w:right="103"/>
              <w:rPr>
                <w:rFonts w:hint="eastAsia"/>
                <w:color w:val="000000"/>
                <w:spacing w:val="1"/>
                <w:lang w:eastAsia="zh-CN"/>
              </w:rPr>
            </w:pPr>
            <w:r>
              <w:rPr>
                <w:rFonts w:hint="eastAsia"/>
                <w:color w:val="000000"/>
                <w:spacing w:val="1"/>
                <w:lang w:eastAsia="zh-CN"/>
              </w:rPr>
              <w:t>方案完整性和合理性（10 分）：维修方案涵盖锅炉各个关键部位，且流程清晰、措施得当、具有针对性，得 8 - 10 分；方案基本完整，措施较合理，得 4 - 7 分；方案存在明显缺陷或不完整，得 0 - 3 分。</w:t>
            </w:r>
          </w:p>
        </w:tc>
      </w:tr>
      <w:tr w14:paraId="5128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4BB60E29">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5AD39C8D">
            <w:pPr>
              <w:pStyle w:val="46"/>
              <w:spacing w:before="32" w:line="241" w:lineRule="auto"/>
              <w:ind w:right="103"/>
              <w:rPr>
                <w:rFonts w:hint="default"/>
                <w:color w:val="000000"/>
                <w:spacing w:val="1"/>
                <w:lang w:val="en-US" w:eastAsia="zh-CN"/>
              </w:rPr>
            </w:pPr>
            <w:r>
              <w:rPr>
                <w:rFonts w:hint="eastAsia"/>
                <w:color w:val="000000"/>
                <w:spacing w:val="1"/>
                <w:lang w:val="en-US" w:eastAsia="zh-CN"/>
              </w:rPr>
              <w:t>证书认证（8分）</w:t>
            </w:r>
          </w:p>
        </w:tc>
        <w:tc>
          <w:tcPr>
            <w:tcW w:w="3371" w:type="pct"/>
            <w:noWrap w:val="0"/>
            <w:vAlign w:val="top"/>
          </w:tcPr>
          <w:p w14:paraId="3065A204">
            <w:pPr>
              <w:pStyle w:val="46"/>
              <w:spacing w:before="32" w:line="241" w:lineRule="auto"/>
              <w:ind w:right="103"/>
              <w:rPr>
                <w:rFonts w:hint="default"/>
                <w:color w:val="000000"/>
                <w:spacing w:val="1"/>
                <w:lang w:eastAsia="zh-CN"/>
              </w:rPr>
            </w:pPr>
            <w:r>
              <w:rPr>
                <w:rFonts w:hint="eastAsia"/>
                <w:color w:val="000000"/>
                <w:spacing w:val="1"/>
                <w:lang w:val="zh-CN" w:eastAsia="zh-CN"/>
              </w:rPr>
              <w:t>有质量管理体系认证证书、环境管理体系认证证书、职业健康安全管理体系认证证书、</w:t>
            </w:r>
            <w:r>
              <w:rPr>
                <w:rFonts w:hint="eastAsia"/>
                <w:color w:val="000000"/>
                <w:spacing w:val="1"/>
                <w:lang w:val="en-US" w:eastAsia="zh-CN"/>
              </w:rPr>
              <w:t>安全生产许可证</w:t>
            </w:r>
            <w:r>
              <w:rPr>
                <w:rFonts w:hint="eastAsia"/>
                <w:color w:val="000000"/>
                <w:spacing w:val="1"/>
                <w:lang w:val="zh-CN" w:eastAsia="zh-CN"/>
              </w:rPr>
              <w:t>的，每提供一项得</w:t>
            </w:r>
            <w:r>
              <w:rPr>
                <w:rFonts w:hint="eastAsia"/>
                <w:color w:val="000000"/>
                <w:spacing w:val="1"/>
                <w:lang w:val="en-US" w:eastAsia="zh-CN"/>
              </w:rPr>
              <w:t>2</w:t>
            </w:r>
            <w:r>
              <w:rPr>
                <w:rFonts w:hint="eastAsia"/>
                <w:color w:val="000000"/>
                <w:spacing w:val="1"/>
                <w:lang w:val="zh-CN" w:eastAsia="zh-CN"/>
              </w:rPr>
              <w:t>分，满分</w:t>
            </w:r>
            <w:r>
              <w:rPr>
                <w:rFonts w:hint="eastAsia"/>
                <w:color w:val="000000"/>
                <w:spacing w:val="1"/>
                <w:lang w:val="en-US" w:eastAsia="zh-CN"/>
              </w:rPr>
              <w:t>8</w:t>
            </w:r>
            <w:r>
              <w:rPr>
                <w:rFonts w:hint="eastAsia"/>
                <w:color w:val="000000"/>
                <w:spacing w:val="1"/>
                <w:lang w:val="zh-CN" w:eastAsia="zh-CN"/>
              </w:rPr>
              <w:t>分。</w:t>
            </w:r>
          </w:p>
        </w:tc>
      </w:tr>
      <w:tr w14:paraId="00E5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pct"/>
            <w:vMerge w:val="continue"/>
            <w:noWrap w:val="0"/>
            <w:vAlign w:val="center"/>
          </w:tcPr>
          <w:p w14:paraId="606E338D">
            <w:pPr>
              <w:keepNext w:val="0"/>
              <w:keepLines w:val="0"/>
              <w:pageBreakBefore w:val="0"/>
              <w:widowControl w:val="0"/>
              <w:kinsoku/>
              <w:wordWrap/>
              <w:overflowPunct/>
              <w:topLinePunct w:val="0"/>
              <w:bidi w:val="0"/>
              <w:snapToGrid/>
              <w:spacing w:line="400" w:lineRule="exact"/>
              <w:jc w:val="center"/>
              <w:textAlignment w:val="auto"/>
              <w:rPr>
                <w:rFonts w:hint="eastAsia" w:ascii="仿宋_GB2312" w:hAnsi="仿宋_GB2312" w:eastAsia="仿宋_GB2312" w:cs="仿宋_GB2312"/>
                <w:sz w:val="28"/>
                <w:szCs w:val="28"/>
              </w:rPr>
            </w:pPr>
          </w:p>
        </w:tc>
        <w:tc>
          <w:tcPr>
            <w:tcW w:w="912" w:type="pct"/>
            <w:noWrap w:val="0"/>
            <w:vAlign w:val="center"/>
          </w:tcPr>
          <w:p w14:paraId="71B5D99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spacing w:val="1"/>
                <w:kern w:val="2"/>
                <w:sz w:val="20"/>
                <w:szCs w:val="20"/>
                <w:lang w:val="en-US" w:eastAsia="zh-CN" w:bidi="ar-SA"/>
              </w:rPr>
            </w:pPr>
            <w:r>
              <w:rPr>
                <w:rFonts w:hint="eastAsia" w:ascii="仿宋" w:hAnsi="仿宋" w:eastAsia="仿宋" w:cs="仿宋"/>
                <w:color w:val="000000"/>
                <w:spacing w:val="1"/>
                <w:kern w:val="2"/>
                <w:sz w:val="20"/>
                <w:szCs w:val="20"/>
                <w:lang w:val="en-US" w:eastAsia="zh-CN" w:bidi="ar-SA"/>
              </w:rPr>
              <w:t xml:space="preserve"> 质量保证措施（10分）</w:t>
            </w:r>
          </w:p>
        </w:tc>
        <w:tc>
          <w:tcPr>
            <w:tcW w:w="3371" w:type="pct"/>
            <w:noWrap w:val="0"/>
            <w:vAlign w:val="top"/>
          </w:tcPr>
          <w:p w14:paraId="1D29456C">
            <w:pPr>
              <w:pStyle w:val="46"/>
              <w:spacing w:before="32" w:line="241" w:lineRule="auto"/>
              <w:ind w:right="103"/>
              <w:rPr>
                <w:rFonts w:hint="eastAsia"/>
                <w:color w:val="000000"/>
                <w:spacing w:val="1"/>
                <w:lang w:eastAsia="zh-CN"/>
              </w:rPr>
            </w:pPr>
            <w:r>
              <w:rPr>
                <w:rFonts w:hint="eastAsia"/>
                <w:color w:val="000000"/>
                <w:spacing w:val="1"/>
                <w:lang w:eastAsia="zh-CN"/>
              </w:rPr>
              <w:t>质量控制体系完善（5 分）：建立了完善的质量控制体系，对维修过程中的各个环节有明确的质量检验标准和方法，得 4 - 5 分；质量控制体系较完善，得 2 - 3 分；体系不完善，得 0 - 1 分。</w:t>
            </w:r>
          </w:p>
          <w:p w14:paraId="59987195">
            <w:pPr>
              <w:pStyle w:val="46"/>
              <w:spacing w:before="32" w:line="241" w:lineRule="auto"/>
              <w:ind w:right="103"/>
              <w:rPr>
                <w:rFonts w:hint="default" w:ascii="仿宋" w:hAnsi="仿宋" w:eastAsia="仿宋" w:cs="仿宋"/>
                <w:color w:val="000000"/>
                <w:spacing w:val="1"/>
                <w:kern w:val="2"/>
                <w:sz w:val="20"/>
                <w:szCs w:val="20"/>
                <w:lang w:val="en-US" w:eastAsia="zh-CN" w:bidi="ar-SA"/>
              </w:rPr>
            </w:pPr>
            <w:r>
              <w:rPr>
                <w:rFonts w:hint="default"/>
                <w:color w:val="000000"/>
                <w:spacing w:val="1"/>
                <w:lang w:eastAsia="zh-CN"/>
              </w:rPr>
              <w:t>质保期承诺（5 分）：质保期</w:t>
            </w:r>
            <w:r>
              <w:rPr>
                <w:rFonts w:hint="eastAsia"/>
                <w:color w:val="000000"/>
                <w:spacing w:val="1"/>
                <w:lang w:val="en-US" w:eastAsia="zh-CN"/>
              </w:rPr>
              <w:t>为2年得3分。每延长一年加1分，满分5分</w:t>
            </w:r>
            <w:r>
              <w:rPr>
                <w:rFonts w:hint="default"/>
                <w:color w:val="000000"/>
                <w:spacing w:val="1"/>
                <w:lang w:eastAsia="zh-CN"/>
              </w:rPr>
              <w:t>。</w:t>
            </w:r>
          </w:p>
        </w:tc>
      </w:tr>
      <w:tr w14:paraId="4C1A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restart"/>
            <w:tcBorders>
              <w:right w:val="single" w:color="auto" w:sz="4" w:space="0"/>
            </w:tcBorders>
            <w:noWrap w:val="0"/>
            <w:vAlign w:val="center"/>
          </w:tcPr>
          <w:p w14:paraId="52665890">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p>
          <w:p w14:paraId="7235285C">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报价部分（40分）</w:t>
            </w:r>
          </w:p>
        </w:tc>
        <w:tc>
          <w:tcPr>
            <w:tcW w:w="912" w:type="pct"/>
            <w:tcBorders>
              <w:left w:val="single" w:color="auto" w:sz="4" w:space="0"/>
            </w:tcBorders>
            <w:noWrap w:val="0"/>
            <w:vAlign w:val="center"/>
          </w:tcPr>
          <w:p w14:paraId="13DD84A1">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zh-CN" w:eastAsia="zh-CN" w:bidi="ar-SA"/>
              </w:rPr>
            </w:pPr>
            <w:r>
              <w:rPr>
                <w:rFonts w:hint="eastAsia" w:ascii="仿宋" w:hAnsi="仿宋" w:eastAsia="仿宋" w:cs="仿宋"/>
                <w:color w:val="000000"/>
                <w:spacing w:val="9"/>
                <w:kern w:val="2"/>
                <w:sz w:val="20"/>
                <w:szCs w:val="20"/>
                <w:lang w:val="en-US" w:eastAsia="zh-CN" w:bidi="ar-SA"/>
              </w:rPr>
              <w:t>评标基准价计算方法</w:t>
            </w:r>
          </w:p>
        </w:tc>
        <w:tc>
          <w:tcPr>
            <w:tcW w:w="3371" w:type="pct"/>
            <w:tcBorders>
              <w:left w:val="single" w:color="auto" w:sz="4" w:space="0"/>
            </w:tcBorders>
            <w:noWrap w:val="0"/>
            <w:vAlign w:val="top"/>
          </w:tcPr>
          <w:p w14:paraId="1CB22EBB">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当有效投标报价多于5个（含5个）时，从所有有效报价中的同一报价内容，去掉一个最高和最低报价后，剩余报价的算术平均值为评标基准价。</w:t>
            </w:r>
          </w:p>
          <w:p w14:paraId="091F0818">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有效投标报价少于5个时，所有有效报价均参加算术平均值的计算。</w:t>
            </w:r>
          </w:p>
          <w:p w14:paraId="2F6AC165">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有效报价是指，投标报价低于（或等于）招标人确定的工程招标控制价。</w:t>
            </w:r>
          </w:p>
        </w:tc>
      </w:tr>
      <w:tr w14:paraId="0F2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continue"/>
            <w:tcBorders>
              <w:right w:val="single" w:color="auto" w:sz="4" w:space="0"/>
            </w:tcBorders>
            <w:noWrap w:val="0"/>
            <w:vAlign w:val="center"/>
          </w:tcPr>
          <w:p w14:paraId="579E1F9F">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p>
        </w:tc>
        <w:tc>
          <w:tcPr>
            <w:tcW w:w="912" w:type="pct"/>
            <w:tcBorders>
              <w:left w:val="single" w:color="auto" w:sz="4" w:space="0"/>
            </w:tcBorders>
            <w:noWrap w:val="0"/>
            <w:vAlign w:val="center"/>
          </w:tcPr>
          <w:p w14:paraId="5CC18659">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投标报价的偏差率计算公式</w:t>
            </w:r>
          </w:p>
        </w:tc>
        <w:tc>
          <w:tcPr>
            <w:tcW w:w="3371" w:type="pct"/>
            <w:tcBorders>
              <w:left w:val="single" w:color="auto" w:sz="4" w:space="0"/>
            </w:tcBorders>
            <w:noWrap w:val="0"/>
            <w:vAlign w:val="top"/>
          </w:tcPr>
          <w:p w14:paraId="5CE25A18">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偏差率=100% ×（投标人的同一报价内容 - 评标基准价）/评标基准价。</w:t>
            </w:r>
          </w:p>
          <w:p w14:paraId="6D386596">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color w:val="000000"/>
                <w:spacing w:val="9"/>
                <w:kern w:val="2"/>
                <w:sz w:val="20"/>
                <w:szCs w:val="20"/>
                <w:lang w:val="en-US" w:eastAsia="zh-CN" w:bidi="ar-SA"/>
              </w:rPr>
            </w:pPr>
            <w:r>
              <w:rPr>
                <w:rFonts w:hint="eastAsia" w:ascii="仿宋" w:hAnsi="仿宋" w:eastAsia="仿宋" w:cs="仿宋"/>
                <w:color w:val="000000"/>
                <w:spacing w:val="9"/>
                <w:kern w:val="2"/>
                <w:sz w:val="20"/>
                <w:szCs w:val="20"/>
                <w:lang w:val="en-US" w:eastAsia="zh-CN" w:bidi="ar-SA"/>
              </w:rPr>
              <w:t>有效投标报价与评标基准价相同的得40分，每高出评标基准价1%，从40分的基础上减2分，每低于评标基准价1%，从40分的基础上减0.5分，减完为止；计算时取小数点后两位。</w:t>
            </w:r>
          </w:p>
        </w:tc>
      </w:tr>
    </w:tbl>
    <w:p w14:paraId="36E7F54E">
      <w:pPr>
        <w:pStyle w:val="9"/>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p>
    <w:p w14:paraId="474F989E">
      <w:pPr>
        <w:pStyle w:val="9"/>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32.其他规定</w:t>
      </w:r>
      <w:bookmarkEnd w:id="229"/>
      <w:bookmarkEnd w:id="230"/>
      <w:bookmarkEnd w:id="231"/>
      <w:bookmarkEnd w:id="232"/>
      <w:bookmarkEnd w:id="233"/>
    </w:p>
    <w:p w14:paraId="6726016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14:paraId="4A20F414">
      <w:pPr>
        <w:pStyle w:val="28"/>
        <w:rPr>
          <w:rFonts w:hint="eastAsia" w:ascii="仿宋_GB2312" w:hAnsi="仿宋_GB2312" w:eastAsia="仿宋_GB2312" w:cs="仿宋_GB2312"/>
          <w:kern w:val="2"/>
          <w:sz w:val="30"/>
          <w:szCs w:val="30"/>
          <w:lang w:val="en-US" w:eastAsia="zh-CN" w:bidi="ar-SA"/>
        </w:rPr>
      </w:pPr>
    </w:p>
    <w:p w14:paraId="5E95470E">
      <w:pPr>
        <w:pStyle w:val="7"/>
        <w:keepNext/>
        <w:widowControl w:val="0"/>
        <w:numPr>
          <w:ilvl w:val="0"/>
          <w:numId w:val="0"/>
        </w:numPr>
        <w:wordWrap/>
        <w:adjustRightInd w:val="0"/>
        <w:snapToGrid w:val="0"/>
        <w:spacing w:before="157" w:beforeLines="50" w:line="560" w:lineRule="exact"/>
        <w:jc w:val="both"/>
        <w:textAlignment w:val="auto"/>
        <w:outlineLvl w:val="0"/>
        <w:rPr>
          <w:rFonts w:hint="eastAsia" w:ascii="仿宋_GB2312" w:hAnsi="仿宋_GB2312" w:eastAsia="仿宋_GB2312" w:cs="仿宋_GB2312"/>
          <w:kern w:val="2"/>
          <w:sz w:val="32"/>
          <w:szCs w:val="32"/>
          <w:highlight w:val="none"/>
          <w:lang w:val="en-US" w:eastAsia="zh-CN" w:bidi="ar-SA"/>
        </w:rPr>
      </w:pPr>
      <w:bookmarkStart w:id="234" w:name="_Toc18130_WPSOffice_Level1"/>
      <w:bookmarkStart w:id="235" w:name="_Toc29561_WPSOffice_Level1"/>
      <w:bookmarkStart w:id="236" w:name="_Toc7780_WPSOffice_Level1"/>
      <w:bookmarkStart w:id="237" w:name="_Toc20750"/>
      <w:bookmarkStart w:id="238" w:name="_Toc34637773"/>
      <w:bookmarkStart w:id="239" w:name="_Toc13204"/>
      <w:bookmarkStart w:id="240" w:name="_Toc4912_WPSOffice_Level1"/>
      <w:bookmarkStart w:id="241" w:name="_Toc2404_WPSOffice_Level1"/>
      <w:bookmarkStart w:id="242" w:name="_Toc7566"/>
      <w:bookmarkStart w:id="243" w:name="_Toc31765_WPSOffice_Level1"/>
      <w:r>
        <w:rPr>
          <w:rFonts w:hint="eastAsia" w:ascii="华文中宋" w:hAnsi="华文中宋" w:eastAsia="华文中宋" w:cs="华文中宋"/>
          <w:b w:val="0"/>
          <w:bCs w:val="0"/>
          <w:sz w:val="44"/>
          <w:szCs w:val="44"/>
          <w:highlight w:val="none"/>
          <w:lang w:val="en-US" w:eastAsia="zh-CN"/>
        </w:rPr>
        <w:br w:type="page"/>
      </w:r>
      <w:bookmarkEnd w:id="234"/>
      <w:bookmarkEnd w:id="235"/>
      <w:bookmarkEnd w:id="236"/>
      <w:bookmarkEnd w:id="237"/>
      <w:bookmarkEnd w:id="238"/>
      <w:bookmarkEnd w:id="239"/>
      <w:bookmarkEnd w:id="240"/>
      <w:bookmarkEnd w:id="241"/>
      <w:bookmarkEnd w:id="242"/>
      <w:bookmarkEnd w:id="243"/>
      <w:bookmarkStart w:id="244" w:name="_Toc18880"/>
    </w:p>
    <w:bookmarkEnd w:id="244"/>
    <w:p w14:paraId="33913646">
      <w:pPr>
        <w:widowControl/>
        <w:wordWrap/>
        <w:spacing w:before="157" w:beforeLines="50" w:line="560" w:lineRule="exact"/>
        <w:jc w:val="center"/>
        <w:outlineLvl w:val="0"/>
        <w:rPr>
          <w:rFonts w:hint="eastAsia" w:ascii="宋体"/>
          <w:b/>
          <w:color w:val="000000"/>
          <w:sz w:val="44"/>
          <w:szCs w:val="44"/>
        </w:rPr>
      </w:pPr>
      <w:bookmarkStart w:id="245" w:name="_Toc18208_WPSOffice_Level1"/>
      <w:bookmarkStart w:id="246" w:name="_Toc5732_WPSOffice_Level1"/>
      <w:bookmarkStart w:id="247" w:name="_Toc28896"/>
      <w:bookmarkStart w:id="248" w:name="_Toc955_WPSOffice_Level1"/>
      <w:bookmarkStart w:id="249" w:name="_Toc15487_WPSOffice_Level1"/>
      <w:bookmarkStart w:id="250" w:name="_Toc31138"/>
      <w:bookmarkStart w:id="251" w:name="_Toc22544"/>
      <w:bookmarkStart w:id="252" w:name="_Toc18643_WPSOffice_Level1"/>
      <w:bookmarkStart w:id="253" w:name="_Toc6923_WPSOffice_Level1"/>
      <w:r>
        <w:rPr>
          <w:rFonts w:hint="eastAsia" w:ascii="华文中宋" w:hAnsi="华文中宋" w:eastAsia="华文中宋" w:cs="华文中宋"/>
          <w:b w:val="0"/>
          <w:bCs w:val="0"/>
          <w:sz w:val="44"/>
          <w:szCs w:val="44"/>
          <w:lang w:eastAsia="zh-CN"/>
        </w:rPr>
        <w:t>第</w:t>
      </w:r>
      <w:r>
        <w:rPr>
          <w:rFonts w:hint="eastAsia" w:ascii="华文中宋" w:hAnsi="华文中宋" w:eastAsia="华文中宋" w:cs="华文中宋"/>
          <w:b w:val="0"/>
          <w:bCs w:val="0"/>
          <w:sz w:val="44"/>
          <w:szCs w:val="44"/>
          <w:lang w:val="en-US" w:eastAsia="zh-CN"/>
        </w:rPr>
        <w:t>三</w:t>
      </w:r>
      <w:r>
        <w:rPr>
          <w:rFonts w:hint="eastAsia" w:ascii="华文中宋" w:hAnsi="华文中宋" w:eastAsia="华文中宋" w:cs="华文中宋"/>
          <w:b w:val="0"/>
          <w:bCs w:val="0"/>
          <w:sz w:val="44"/>
          <w:szCs w:val="44"/>
          <w:lang w:eastAsia="zh-CN"/>
        </w:rPr>
        <w:t>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45"/>
      <w:bookmarkEnd w:id="246"/>
      <w:bookmarkEnd w:id="247"/>
      <w:bookmarkEnd w:id="248"/>
      <w:bookmarkEnd w:id="249"/>
      <w:bookmarkEnd w:id="250"/>
      <w:bookmarkEnd w:id="251"/>
      <w:bookmarkEnd w:id="252"/>
      <w:bookmarkEnd w:id="253"/>
    </w:p>
    <w:p w14:paraId="65BE7568">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54" w:name="_Toc4945_WPSOffice_Level2"/>
      <w:bookmarkStart w:id="255" w:name="_Toc20166_WPSOffice_Level2"/>
      <w:bookmarkStart w:id="256" w:name="_Toc11968"/>
      <w:bookmarkStart w:id="257" w:name="_Toc12691_WPSOffice_Level2"/>
      <w:bookmarkStart w:id="258" w:name="_Toc23414"/>
      <w:r>
        <w:rPr>
          <w:rFonts w:hint="eastAsia" w:ascii="黑体" w:hAnsi="黑体" w:eastAsia="黑体" w:cs="黑体"/>
          <w:kern w:val="2"/>
          <w:sz w:val="32"/>
          <w:szCs w:val="32"/>
          <w:lang w:val="en-US" w:eastAsia="zh-CN" w:bidi="ar-SA"/>
        </w:rPr>
        <w:t>九、谈判响应文件的组成</w:t>
      </w:r>
      <w:bookmarkEnd w:id="254"/>
      <w:bookmarkEnd w:id="255"/>
      <w:bookmarkEnd w:id="256"/>
      <w:bookmarkEnd w:id="257"/>
      <w:bookmarkEnd w:id="258"/>
    </w:p>
    <w:p w14:paraId="5F10A4A7">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59" w:name="_Toc31451_WPSOffice_Level3"/>
      <w:bookmarkStart w:id="260" w:name="_Toc185_WPSOffice_Level2"/>
      <w:bookmarkStart w:id="261" w:name="_Toc22172"/>
      <w:bookmarkStart w:id="262" w:name="_Toc17712"/>
      <w:r>
        <w:rPr>
          <w:rFonts w:hint="eastAsia" w:ascii="楷体_GB2312" w:hAnsi="楷体_GB2312" w:eastAsia="楷体_GB2312" w:cs="楷体_GB2312"/>
          <w:b/>
          <w:bCs/>
          <w:kern w:val="2"/>
          <w:sz w:val="32"/>
          <w:szCs w:val="32"/>
          <w:lang w:val="zh-CN" w:eastAsia="zh-CN" w:bidi="ar-SA"/>
        </w:rPr>
        <w:t>（一）资格审查部分</w:t>
      </w:r>
      <w:bookmarkEnd w:id="259"/>
      <w:bookmarkEnd w:id="260"/>
      <w:bookmarkEnd w:id="261"/>
      <w:bookmarkEnd w:id="262"/>
    </w:p>
    <w:p w14:paraId="46BB9EAF">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3" w:name="_Toc19260_WPSOffice_Level3"/>
      <w:r>
        <w:rPr>
          <w:rFonts w:hint="eastAsia" w:ascii="仿宋_GB2312" w:hAnsi="仿宋_GB2312" w:eastAsia="仿宋_GB2312" w:cs="仿宋_GB2312"/>
          <w:kern w:val="2"/>
          <w:sz w:val="32"/>
          <w:szCs w:val="32"/>
          <w:lang w:val="zh-CN" w:eastAsia="zh-CN" w:bidi="ar-SA"/>
        </w:rPr>
        <w:t>1、响应函（见附件1）</w:t>
      </w:r>
      <w:bookmarkEnd w:id="263"/>
    </w:p>
    <w:p w14:paraId="1EF79DC6">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4" w:name="_Toc13122_WPSOffice_Level3"/>
      <w:r>
        <w:rPr>
          <w:rFonts w:hint="eastAsia" w:ascii="仿宋_GB2312" w:hAnsi="仿宋_GB2312" w:eastAsia="仿宋_GB2312" w:cs="仿宋_GB2312"/>
          <w:kern w:val="2"/>
          <w:sz w:val="32"/>
          <w:szCs w:val="32"/>
          <w:lang w:val="zh-CN" w:eastAsia="zh-CN" w:bidi="ar-SA"/>
        </w:rPr>
        <w:t>2、法定代表人证明书（见附件2）</w:t>
      </w:r>
      <w:bookmarkEnd w:id="264"/>
    </w:p>
    <w:p w14:paraId="7331699C">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5" w:name="_Toc5677_WPSOffice_Level3"/>
      <w:r>
        <w:rPr>
          <w:rFonts w:hint="eastAsia" w:ascii="仿宋_GB2312" w:hAnsi="仿宋_GB2312" w:eastAsia="仿宋_GB2312" w:cs="仿宋_GB2312"/>
          <w:kern w:val="2"/>
          <w:sz w:val="32"/>
          <w:szCs w:val="32"/>
          <w:lang w:val="zh-CN" w:eastAsia="zh-CN" w:bidi="ar-SA"/>
        </w:rPr>
        <w:t>3、法定代表人授权书（见附件3）</w:t>
      </w:r>
      <w:bookmarkEnd w:id="265"/>
    </w:p>
    <w:p w14:paraId="16680085">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6" w:name="_Toc1890_WPSOffice_Level3"/>
      <w:r>
        <w:rPr>
          <w:rFonts w:hint="eastAsia" w:ascii="仿宋_GB2312" w:hAnsi="仿宋_GB2312" w:eastAsia="仿宋_GB2312" w:cs="仿宋_GB2312"/>
          <w:kern w:val="2"/>
          <w:sz w:val="32"/>
          <w:szCs w:val="32"/>
          <w:lang w:val="zh-CN" w:eastAsia="zh-CN" w:bidi="ar-SA"/>
        </w:rPr>
        <w:t>4、竞标人承诺函（见附件4）</w:t>
      </w:r>
      <w:bookmarkEnd w:id="266"/>
    </w:p>
    <w:p w14:paraId="7C64848A">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7" w:name="_Toc25873_WPSOffice_Level3"/>
      <w:r>
        <w:rPr>
          <w:rFonts w:hint="eastAsia" w:ascii="仿宋_GB2312" w:hAnsi="仿宋_GB2312" w:eastAsia="仿宋_GB2312" w:cs="仿宋_GB2312"/>
          <w:kern w:val="2"/>
          <w:sz w:val="32"/>
          <w:szCs w:val="32"/>
          <w:lang w:val="zh-CN" w:eastAsia="zh-CN" w:bidi="ar-SA"/>
        </w:rPr>
        <w:t>5、竞标人诚信承诺书（见附件5）</w:t>
      </w:r>
      <w:bookmarkEnd w:id="267"/>
    </w:p>
    <w:p w14:paraId="0D26DE68">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8" w:name="_Toc31370_WPSOffice_Level3"/>
      <w:r>
        <w:rPr>
          <w:rFonts w:hint="eastAsia" w:ascii="仿宋_GB2312" w:hAnsi="仿宋_GB2312" w:eastAsia="仿宋_GB2312" w:cs="仿宋_GB2312"/>
          <w:kern w:val="2"/>
          <w:sz w:val="32"/>
          <w:szCs w:val="32"/>
          <w:lang w:val="zh-CN" w:eastAsia="zh-CN" w:bidi="ar-SA"/>
        </w:rPr>
        <w:t>6、竞标人资格证明文件（见附件6）</w:t>
      </w:r>
      <w:bookmarkEnd w:id="268"/>
    </w:p>
    <w:p w14:paraId="4B537953">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9" w:name="_Toc10045_WPSOffice_Level3"/>
      <w:r>
        <w:rPr>
          <w:rFonts w:hint="eastAsia" w:ascii="仿宋_GB2312" w:hAnsi="仿宋_GB2312" w:eastAsia="仿宋_GB2312" w:cs="仿宋_GB2312"/>
          <w:kern w:val="2"/>
          <w:sz w:val="32"/>
          <w:szCs w:val="32"/>
          <w:lang w:val="zh-CN" w:eastAsia="zh-CN" w:bidi="ar-SA"/>
        </w:rPr>
        <w:t>7、财务</w:t>
      </w:r>
      <w:r>
        <w:rPr>
          <w:rFonts w:hint="eastAsia" w:ascii="仿宋_GB2312" w:hAnsi="仿宋_GB2312" w:eastAsia="仿宋_GB2312" w:cs="仿宋_GB2312"/>
          <w:kern w:val="2"/>
          <w:sz w:val="32"/>
          <w:szCs w:val="32"/>
          <w:lang w:val="en-US" w:eastAsia="zh-CN" w:bidi="ar-SA"/>
        </w:rPr>
        <w:t>审计报告</w:t>
      </w:r>
      <w:r>
        <w:rPr>
          <w:rFonts w:hint="eastAsia" w:ascii="仿宋_GB2312" w:hAnsi="仿宋_GB2312" w:eastAsia="仿宋_GB2312" w:cs="仿宋_GB2312"/>
          <w:kern w:val="2"/>
          <w:sz w:val="32"/>
          <w:szCs w:val="32"/>
          <w:lang w:val="zh-CN" w:eastAsia="zh-CN" w:bidi="ar-SA"/>
        </w:rPr>
        <w:t>（见附件7）</w:t>
      </w:r>
      <w:bookmarkEnd w:id="269"/>
    </w:p>
    <w:p w14:paraId="3A42D9F5">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0" w:name="_Toc12223_WPSOffice_Level3"/>
      <w:r>
        <w:rPr>
          <w:rFonts w:hint="eastAsia" w:ascii="仿宋_GB2312" w:hAnsi="仿宋_GB2312" w:eastAsia="仿宋_GB2312" w:cs="仿宋_GB2312"/>
          <w:kern w:val="2"/>
          <w:sz w:val="32"/>
          <w:szCs w:val="32"/>
          <w:lang w:val="zh-CN" w:eastAsia="zh-CN" w:bidi="ar-SA"/>
        </w:rPr>
        <w:t>8、无重大违法记录声明（见附件</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w:t>
      </w:r>
      <w:bookmarkEnd w:id="270"/>
    </w:p>
    <w:p w14:paraId="03A27200">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71" w:name="_Toc3154_WPSOffice_Level2"/>
      <w:bookmarkStart w:id="272" w:name="_Toc21135"/>
      <w:bookmarkStart w:id="273" w:name="_Toc18301_WPSOffice_Level3"/>
      <w:bookmarkStart w:id="274" w:name="_Toc10882"/>
      <w:r>
        <w:rPr>
          <w:rFonts w:hint="eastAsia" w:ascii="楷体_GB2312" w:hAnsi="楷体_GB2312" w:eastAsia="楷体_GB2312" w:cs="楷体_GB2312"/>
          <w:b/>
          <w:bCs/>
          <w:kern w:val="2"/>
          <w:sz w:val="32"/>
          <w:szCs w:val="32"/>
          <w:lang w:val="zh-CN" w:eastAsia="zh-CN" w:bidi="ar-SA"/>
        </w:rPr>
        <w:t>（二）有效性、完整性、响应程度审查部分</w:t>
      </w:r>
      <w:bookmarkEnd w:id="271"/>
      <w:bookmarkEnd w:id="272"/>
      <w:bookmarkEnd w:id="273"/>
      <w:bookmarkEnd w:id="274"/>
    </w:p>
    <w:p w14:paraId="397E5A35">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5" w:name="_Toc9730_WPSOffice_Level3"/>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zh-CN" w:eastAsia="zh-CN" w:bidi="ar-SA"/>
        </w:rPr>
        <w:t>）</w:t>
      </w:r>
      <w:bookmarkEnd w:id="275"/>
    </w:p>
    <w:p w14:paraId="0DD36148">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276" w:name="_Toc30100_WPSOffice_Level3"/>
      <w:r>
        <w:rPr>
          <w:rFonts w:hint="eastAsia" w:ascii="仿宋_GB2312" w:hAnsi="仿宋_GB2312" w:eastAsia="仿宋_GB2312" w:cs="仿宋_GB2312"/>
          <w:kern w:val="2"/>
          <w:sz w:val="32"/>
          <w:szCs w:val="32"/>
          <w:lang w:val="en-US" w:eastAsia="zh-CN" w:bidi="ar-SA"/>
        </w:rPr>
        <w:t>2、谈判最后报价表（见附件10）</w:t>
      </w:r>
      <w:bookmarkEnd w:id="276"/>
    </w:p>
    <w:p w14:paraId="3934599C">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bookmarkStart w:id="277" w:name="_Toc5088_WPSOffice_Level3"/>
      <w:r>
        <w:rPr>
          <w:rFonts w:hint="eastAsia" w:ascii="仿宋_GB2312" w:hAnsi="仿宋_GB2312" w:eastAsia="仿宋_GB2312" w:cs="仿宋_GB2312"/>
          <w:kern w:val="2"/>
          <w:sz w:val="32"/>
          <w:szCs w:val="32"/>
          <w:lang w:val="en-US" w:eastAsia="zh-CN" w:bidi="ar-SA"/>
        </w:rPr>
        <w:t>3、其他证明材料（格式自定）</w:t>
      </w:r>
      <w:bookmarkEnd w:id="277"/>
    </w:p>
    <w:p w14:paraId="68A0D015">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14:paraId="5AAC0EAF">
      <w:pPr>
        <w:pStyle w:val="28"/>
        <w:rPr>
          <w:rFonts w:hint="default" w:ascii="仿宋_GB2312" w:hAnsi="仿宋_GB2312" w:eastAsia="仿宋_GB2312" w:cs="仿宋_GB2312"/>
          <w:kern w:val="2"/>
          <w:sz w:val="32"/>
          <w:szCs w:val="32"/>
          <w:lang w:val="en-US" w:eastAsia="zh-CN" w:bidi="ar-SA"/>
        </w:rPr>
      </w:pPr>
    </w:p>
    <w:p w14:paraId="783401F7">
      <w:pPr>
        <w:pStyle w:val="28"/>
        <w:rPr>
          <w:rFonts w:hint="default" w:ascii="仿宋_GB2312" w:hAnsi="仿宋_GB2312" w:eastAsia="仿宋_GB2312" w:cs="仿宋_GB2312"/>
          <w:kern w:val="2"/>
          <w:sz w:val="32"/>
          <w:szCs w:val="32"/>
          <w:lang w:val="en-US" w:eastAsia="zh-CN" w:bidi="ar-SA"/>
        </w:rPr>
      </w:pPr>
    </w:p>
    <w:p w14:paraId="0A79FCA7">
      <w:pPr>
        <w:pStyle w:val="28"/>
        <w:rPr>
          <w:rFonts w:hint="default" w:ascii="仿宋_GB2312" w:hAnsi="仿宋_GB2312" w:eastAsia="仿宋_GB2312" w:cs="仿宋_GB2312"/>
          <w:kern w:val="2"/>
          <w:sz w:val="32"/>
          <w:szCs w:val="32"/>
          <w:lang w:val="en-US" w:eastAsia="zh-CN" w:bidi="ar-SA"/>
        </w:rPr>
      </w:pPr>
    </w:p>
    <w:p w14:paraId="0952CBDB">
      <w:pPr>
        <w:pStyle w:val="28"/>
        <w:rPr>
          <w:rFonts w:hint="default" w:ascii="仿宋_GB2312" w:hAnsi="仿宋_GB2312" w:eastAsia="仿宋_GB2312" w:cs="仿宋_GB2312"/>
          <w:kern w:val="2"/>
          <w:sz w:val="32"/>
          <w:szCs w:val="32"/>
          <w:lang w:val="en-US" w:eastAsia="zh-CN" w:bidi="ar-SA"/>
        </w:rPr>
      </w:pPr>
    </w:p>
    <w:p w14:paraId="6D3BF906">
      <w:pPr>
        <w:pStyle w:val="28"/>
        <w:rPr>
          <w:rFonts w:hint="default" w:ascii="仿宋_GB2312" w:hAnsi="仿宋_GB2312" w:eastAsia="仿宋_GB2312" w:cs="仿宋_GB2312"/>
          <w:kern w:val="2"/>
          <w:sz w:val="32"/>
          <w:szCs w:val="32"/>
          <w:lang w:val="en-US" w:eastAsia="zh-CN" w:bidi="ar-SA"/>
        </w:rPr>
      </w:pPr>
    </w:p>
    <w:p w14:paraId="3C7482A1">
      <w:pPr>
        <w:pStyle w:val="28"/>
        <w:rPr>
          <w:rFonts w:hint="default" w:ascii="仿宋_GB2312" w:hAnsi="仿宋_GB2312" w:eastAsia="仿宋_GB2312" w:cs="仿宋_GB2312"/>
          <w:kern w:val="2"/>
          <w:sz w:val="32"/>
          <w:szCs w:val="32"/>
          <w:lang w:val="en-US" w:eastAsia="zh-CN" w:bidi="ar-SA"/>
        </w:rPr>
      </w:pPr>
    </w:p>
    <w:p w14:paraId="77C4851D">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78" w:name="_Toc5252_WPSOffice_Level2"/>
      <w:bookmarkStart w:id="279" w:name="_Toc1684_WPSOffice_Level2"/>
      <w:bookmarkStart w:id="280" w:name="_Toc14930_WPSOffice_Level2"/>
      <w:bookmarkStart w:id="281" w:name="_Toc11918"/>
      <w:bookmarkStart w:id="282" w:name="_Toc30270"/>
      <w:r>
        <w:rPr>
          <w:rFonts w:hint="eastAsia" w:ascii="黑体" w:hAnsi="黑体" w:eastAsia="黑体" w:cs="黑体"/>
          <w:kern w:val="2"/>
          <w:sz w:val="32"/>
          <w:szCs w:val="32"/>
          <w:lang w:val="en-US" w:eastAsia="zh-CN" w:bidi="ar-SA"/>
        </w:rPr>
        <w:t>十、谈判响应文件</w:t>
      </w:r>
      <w:bookmarkEnd w:id="278"/>
      <w:bookmarkEnd w:id="279"/>
      <w:bookmarkEnd w:id="280"/>
      <w:bookmarkEnd w:id="281"/>
      <w:bookmarkEnd w:id="282"/>
    </w:p>
    <w:p w14:paraId="141F4037">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283" w:name="_Toc28269_WPSOffice_Level3"/>
    </w:p>
    <w:bookmarkEnd w:id="283"/>
    <w:p w14:paraId="3279A11E">
      <w:pPr>
        <w:wordWrap/>
        <w:spacing w:before="157" w:beforeLines="50" w:line="560" w:lineRule="exact"/>
        <w:jc w:val="left"/>
        <w:outlineLvl w:val="9"/>
        <w:rPr>
          <w:rFonts w:hint="default" w:ascii="仿宋_GB2312" w:hAnsi="仿宋_GB2312" w:eastAsia="仿宋_GB2312" w:cs="仿宋_GB2312"/>
          <w:b/>
          <w:color w:val="000000"/>
          <w:sz w:val="52"/>
          <w:szCs w:val="52"/>
          <w:u w:val="single"/>
          <w:lang w:val="en-US" w:eastAsia="zh-CN"/>
        </w:rPr>
      </w:pPr>
      <w:r>
        <w:rPr>
          <w:rFonts w:hint="eastAsia" w:ascii="仿宋_GB2312" w:hAnsi="仿宋_GB2312" w:eastAsia="仿宋_GB2312" w:cs="仿宋_GB2312"/>
          <w:b/>
          <w:color w:val="000000"/>
          <w:sz w:val="52"/>
          <w:szCs w:val="52"/>
          <w:u w:val="single"/>
          <w:lang w:val="en-US" w:eastAsia="zh-CN"/>
        </w:rPr>
        <w:t xml:space="preserve">                （项目名称）                    </w:t>
      </w:r>
    </w:p>
    <w:p w14:paraId="70AA0E27">
      <w:pPr>
        <w:wordWrap/>
        <w:spacing w:before="157" w:beforeLines="50" w:line="560" w:lineRule="exact"/>
        <w:ind w:firstLine="2610" w:firstLineChars="500"/>
        <w:jc w:val="both"/>
        <w:outlineLvl w:val="9"/>
        <w:rPr>
          <w:rFonts w:hint="eastAsia" w:ascii="仿宋_GB2312" w:hAnsi="仿宋_GB2312" w:eastAsia="仿宋_GB2312" w:cs="仿宋_GB2312"/>
          <w:b/>
          <w:color w:val="000000"/>
          <w:sz w:val="52"/>
          <w:szCs w:val="52"/>
        </w:rPr>
      </w:pPr>
      <w:bookmarkStart w:id="284" w:name="_Toc23622_WPSOffice_Level2"/>
      <w:bookmarkStart w:id="285" w:name="_Toc25378_WPSOffice_Level2"/>
      <w:r>
        <w:rPr>
          <w:rFonts w:hint="eastAsia" w:ascii="仿宋_GB2312" w:hAnsi="仿宋_GB2312" w:eastAsia="仿宋_GB2312" w:cs="仿宋_GB2312"/>
          <w:b/>
          <w:color w:val="000000"/>
          <w:sz w:val="52"/>
          <w:szCs w:val="52"/>
          <w:lang w:val="en-US" w:eastAsia="zh-CN"/>
        </w:rPr>
        <w:t>竞争性磋商</w:t>
      </w:r>
      <w:r>
        <w:rPr>
          <w:rFonts w:hint="eastAsia" w:ascii="仿宋_GB2312" w:hAnsi="仿宋_GB2312" w:eastAsia="仿宋_GB2312" w:cs="仿宋_GB2312"/>
          <w:b/>
          <w:color w:val="000000"/>
          <w:sz w:val="52"/>
          <w:szCs w:val="52"/>
        </w:rPr>
        <w:t>响应文件</w:t>
      </w:r>
      <w:bookmarkEnd w:id="284"/>
      <w:bookmarkEnd w:id="285"/>
    </w:p>
    <w:p w14:paraId="66E4FA41">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286" w:name="_Toc13231_WPSOffice_Level2"/>
      <w:bookmarkStart w:id="287" w:name="_Toc28825_WPSOffice_Level2"/>
    </w:p>
    <w:bookmarkEnd w:id="286"/>
    <w:bookmarkEnd w:id="287"/>
    <w:p w14:paraId="40B802DE">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5EFE6BC2">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288" w:name="_Toc19521_WPSOffice_Level2"/>
      <w:bookmarkStart w:id="289" w:name="_Toc29803_WPSOffice_Level2"/>
      <w:r>
        <w:rPr>
          <w:rFonts w:hint="eastAsia" w:ascii="仿宋_GB2312" w:hAnsi="仿宋_GB2312" w:eastAsia="仿宋_GB2312" w:cs="仿宋_GB2312"/>
          <w:b/>
          <w:bCs/>
          <w:color w:val="000000"/>
          <w:sz w:val="32"/>
          <w:szCs w:val="32"/>
        </w:rPr>
        <w:t>项目编号:</w:t>
      </w:r>
      <w:bookmarkEnd w:id="288"/>
      <w:bookmarkEnd w:id="289"/>
    </w:p>
    <w:p w14:paraId="24B5119E">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290" w:name="_Toc14786_WPSOffice_Level2"/>
      <w:bookmarkStart w:id="291" w:name="_Toc18713_WPSOffice_Level2"/>
      <w:r>
        <w:rPr>
          <w:rFonts w:hint="eastAsia" w:ascii="仿宋_GB2312" w:hAnsi="仿宋_GB2312" w:eastAsia="仿宋_GB2312" w:cs="仿宋_GB2312"/>
          <w:b/>
          <w:bCs/>
          <w:color w:val="000000"/>
          <w:sz w:val="32"/>
          <w:szCs w:val="32"/>
        </w:rPr>
        <w:t>项目名称:</w:t>
      </w:r>
      <w:bookmarkEnd w:id="290"/>
      <w:bookmarkEnd w:id="291"/>
      <w:r>
        <w:rPr>
          <w:rFonts w:hint="eastAsia" w:ascii="仿宋_GB2312" w:hAnsi="仿宋_GB2312" w:eastAsia="仿宋_GB2312" w:cs="仿宋_GB2312"/>
          <w:b/>
          <w:bCs/>
          <w:color w:val="000000"/>
          <w:sz w:val="32"/>
          <w:szCs w:val="32"/>
        </w:rPr>
        <w:t xml:space="preserve"> </w:t>
      </w:r>
    </w:p>
    <w:p w14:paraId="43F2D354">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292" w:name="_Toc14087_WPSOffice_Level2"/>
      <w:bookmarkStart w:id="293" w:name="_Toc22044_WPSOffice_Level2"/>
      <w:r>
        <w:rPr>
          <w:rFonts w:hint="eastAsia" w:ascii="仿宋_GB2312" w:hAnsi="仿宋_GB2312" w:eastAsia="仿宋_GB2312" w:cs="仿宋_GB2312"/>
          <w:b/>
          <w:bCs/>
          <w:color w:val="000000"/>
          <w:sz w:val="32"/>
          <w:szCs w:val="32"/>
          <w:lang w:eastAsia="zh-CN"/>
        </w:rPr>
        <w:t>竞标人名称：</w:t>
      </w:r>
      <w:bookmarkEnd w:id="292"/>
      <w:bookmarkEnd w:id="293"/>
    </w:p>
    <w:p w14:paraId="0049359F">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14:paraId="2A9B30CA">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294" w:name="_Toc1142_WPSOffice_Level3"/>
      <w:r>
        <w:rPr>
          <w:rFonts w:hint="eastAsia" w:ascii="仿宋_GB2312" w:hAnsi="仿宋_GB2312" w:eastAsia="仿宋_GB2312" w:cs="仿宋_GB2312"/>
          <w:b/>
          <w:color w:val="000000"/>
          <w:sz w:val="32"/>
          <w:szCs w:val="32"/>
        </w:rPr>
        <w:t>年  月  日</w:t>
      </w:r>
      <w:bookmarkEnd w:id="294"/>
    </w:p>
    <w:p w14:paraId="2FD1248D">
      <w:pPr>
        <w:widowControl/>
        <w:wordWrap/>
        <w:snapToGrid w:val="0"/>
        <w:spacing w:before="157" w:beforeLines="50" w:line="560" w:lineRule="exact"/>
        <w:jc w:val="left"/>
        <w:outlineLvl w:val="9"/>
        <w:rPr>
          <w:rFonts w:hint="eastAsia" w:ascii="宋体"/>
          <w:b/>
          <w:color w:val="000000"/>
          <w:sz w:val="28"/>
          <w:szCs w:val="28"/>
        </w:rPr>
      </w:pPr>
    </w:p>
    <w:p w14:paraId="1A53514B">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295" w:name="_Toc32479_WPSOffice_Level3"/>
      <w:bookmarkStart w:id="296" w:name="_Toc27578"/>
      <w:bookmarkStart w:id="297" w:name="_Toc19203"/>
      <w:bookmarkStart w:id="298" w:name="_Toc27597"/>
      <w:bookmarkStart w:id="299" w:name="_Toc13921"/>
      <w:r>
        <w:rPr>
          <w:rFonts w:hint="eastAsia" w:ascii="楷体_GB2312" w:hAnsi="楷体_GB2312" w:eastAsia="楷体_GB2312" w:cs="楷体_GB2312"/>
          <w:b/>
          <w:color w:val="000000"/>
          <w:sz w:val="32"/>
          <w:szCs w:val="32"/>
          <w:lang w:eastAsia="zh-CN"/>
        </w:rPr>
        <w:t>附件1：响应函</w:t>
      </w:r>
      <w:bookmarkEnd w:id="295"/>
      <w:bookmarkEnd w:id="296"/>
      <w:bookmarkEnd w:id="297"/>
      <w:bookmarkEnd w:id="298"/>
      <w:bookmarkEnd w:id="299"/>
    </w:p>
    <w:p w14:paraId="3E5C211D">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300" w:name="_Toc24288_WPSOffice_Level2"/>
      <w:bookmarkStart w:id="301" w:name="_Toc2259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300"/>
      <w:bookmarkEnd w:id="301"/>
    </w:p>
    <w:p w14:paraId="777B8C4C">
      <w:pPr>
        <w:widowControl w:val="0"/>
        <w:wordWrap/>
        <w:adjustRightInd w:val="0"/>
        <w:snapToGrid w:val="0"/>
        <w:spacing w:line="560" w:lineRule="exact"/>
        <w:ind w:firstLine="640" w:firstLineChars="200"/>
        <w:textAlignment w:val="auto"/>
        <w:outlineLvl w:val="9"/>
        <w:rPr>
          <w:rFonts w:hint="default" w:ascii="仿宋_GB2312" w:hAnsi="仿宋_GB2312" w:eastAsia="仿宋_GB2312" w:cs="仿宋_GB2312"/>
          <w:b w:val="0"/>
          <w:bCs w:val="0"/>
          <w:color w:val="000000"/>
          <w:sz w:val="32"/>
          <w:szCs w:val="32"/>
          <w:u w:val="single"/>
          <w:lang w:val="en-US" w:eastAsia="zh-CN"/>
        </w:rPr>
      </w:pPr>
      <w:bookmarkStart w:id="302" w:name="_Toc16867_WPSOffice_Level2"/>
      <w:r>
        <w:rPr>
          <w:rFonts w:hint="eastAsia" w:ascii="仿宋_GB2312" w:hAnsi="仿宋_GB2312" w:eastAsia="仿宋_GB2312" w:cs="仿宋_GB2312"/>
          <w:b w:val="0"/>
          <w:bCs w:val="0"/>
          <w:sz w:val="32"/>
          <w:szCs w:val="32"/>
        </w:rPr>
        <w:t>致：</w:t>
      </w:r>
      <w:bookmarkEnd w:id="302"/>
      <w:r>
        <w:rPr>
          <w:rFonts w:hint="eastAsia" w:ascii="仿宋_GB2312" w:hAnsi="仿宋_GB2312" w:eastAsia="仿宋_GB2312" w:cs="仿宋_GB2312"/>
          <w:b w:val="0"/>
          <w:bCs w:val="0"/>
          <w:sz w:val="32"/>
          <w:szCs w:val="32"/>
          <w:u w:val="single"/>
          <w:lang w:val="en-US" w:eastAsia="zh-CN"/>
        </w:rPr>
        <w:t xml:space="preserve">                </w:t>
      </w:r>
    </w:p>
    <w:p w14:paraId="4E1EF12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（项目名称及编号）</w:t>
      </w:r>
      <w:r>
        <w:rPr>
          <w:rFonts w:hint="eastAsia" w:ascii="仿宋_GB2312" w:hAnsi="仿宋_GB2312" w:eastAsia="仿宋_GB2312" w:cs="仿宋_GB2312"/>
          <w:sz w:val="32"/>
          <w:szCs w:val="32"/>
        </w:rPr>
        <w:t>谈判文件，经研究，法定代表人（姓名、职务）正式授权（委托代理人姓名、职务）代表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 xml:space="preserve">名称）提交谈判响应文件。    </w:t>
      </w:r>
    </w:p>
    <w:p w14:paraId="5C57572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6D994B3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14:paraId="310E1DE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若在响应文件发出后，</w:t>
      </w:r>
      <w:r>
        <w:rPr>
          <w:rFonts w:hint="eastAsia" w:ascii="仿宋_GB2312" w:hAnsi="仿宋_GB2312" w:eastAsia="仿宋_GB2312" w:cs="仿宋_GB2312"/>
          <w:sz w:val="32"/>
          <w:szCs w:val="32"/>
        </w:rPr>
        <w:t>我方在</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有效期内撤回或成交后不签约的，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保证金将被贵方没收。</w:t>
      </w:r>
    </w:p>
    <w:p w14:paraId="068BC42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有关的一切数据或资料，理解并接受贵方制定的评标办法。</w:t>
      </w:r>
    </w:p>
    <w:p w14:paraId="075748C2">
      <w:pPr>
        <w:widowControl w:val="0"/>
        <w:wordWrap/>
        <w:adjustRightInd w:val="0"/>
        <w:snapToGrid w:val="0"/>
        <w:spacing w:line="560" w:lineRule="exact"/>
        <w:ind w:firstLine="640" w:firstLineChars="200"/>
        <w:textAlignment w:val="auto"/>
        <w:outlineLvl w:val="2"/>
        <w:rPr>
          <w:rFonts w:hint="eastAsia" w:ascii="仿宋_GB2312" w:hAnsi="仿宋_GB2312" w:eastAsia="仿宋_GB2312" w:cs="仿宋_GB2312"/>
          <w:sz w:val="32"/>
          <w:szCs w:val="32"/>
        </w:rPr>
      </w:pPr>
      <w:bookmarkStart w:id="303" w:name="_Toc2210"/>
      <w:r>
        <w:rPr>
          <w:rFonts w:hint="eastAsia" w:ascii="仿宋_GB2312" w:hAnsi="仿宋_GB2312" w:eastAsia="仿宋_GB2312" w:cs="仿宋_GB2312"/>
          <w:sz w:val="32"/>
          <w:szCs w:val="32"/>
        </w:rPr>
        <w:t>4、与本</w:t>
      </w:r>
      <w:r>
        <w:rPr>
          <w:rFonts w:hint="eastAsia" w:ascii="仿宋_GB2312" w:hAnsi="仿宋_GB2312" w:eastAsia="仿宋_GB2312" w:cs="仿宋_GB2312"/>
          <w:sz w:val="32"/>
          <w:szCs w:val="32"/>
          <w:lang w:eastAsia="zh-CN"/>
        </w:rPr>
        <w:t>次竞争性谈判</w:t>
      </w:r>
      <w:r>
        <w:rPr>
          <w:rFonts w:hint="eastAsia" w:ascii="仿宋_GB2312" w:hAnsi="仿宋_GB2312" w:eastAsia="仿宋_GB2312" w:cs="仿宋_GB2312"/>
          <w:sz w:val="32"/>
          <w:szCs w:val="32"/>
        </w:rPr>
        <w:t>有关的一切正式往来通讯请寄：</w:t>
      </w:r>
      <w:bookmarkEnd w:id="303"/>
    </w:p>
    <w:p w14:paraId="4496C29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3980C66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70CCACCC">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50172774">
      <w:pPr>
        <w:wordWrap/>
        <w:spacing w:before="157" w:beforeLines="50" w:line="560" w:lineRule="exact"/>
        <w:ind w:firstLine="56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bookmarkStart w:id="304" w:name="_Toc1506_WPSOffice_Level3"/>
      <w:r>
        <w:rPr>
          <w:rFonts w:hint="eastAsia" w:ascii="仿宋_GB2312" w:hAnsi="仿宋_GB2312" w:eastAsia="仿宋_GB2312" w:cs="仿宋_GB2312"/>
          <w:b w:val="0"/>
          <w:bCs/>
          <w:color w:val="000000"/>
          <w:sz w:val="32"/>
          <w:szCs w:val="32"/>
          <w:lang w:val="en-US" w:eastAsia="zh-CN"/>
        </w:rPr>
        <w:t xml:space="preserve">               </w:t>
      </w:r>
      <w:bookmarkStart w:id="305" w:name="_Toc28112_WPSOffice_Level3"/>
      <w:r>
        <w:rPr>
          <w:rFonts w:hint="eastAsia" w:ascii="仿宋_GB2312" w:hAnsi="仿宋_GB2312" w:eastAsia="仿宋_GB2312" w:cs="仿宋_GB2312"/>
          <w:b w:val="0"/>
          <w:bCs/>
          <w:color w:val="000000"/>
          <w:sz w:val="32"/>
          <w:szCs w:val="32"/>
          <w:lang w:eastAsia="zh-CN"/>
        </w:rPr>
        <w:t>单</w:t>
      </w:r>
      <w:r>
        <w:rPr>
          <w:rFonts w:hint="eastAsia" w:ascii="仿宋_GB2312" w:hAnsi="仿宋_GB2312" w:eastAsia="仿宋_GB2312" w:cs="仿宋_GB2312"/>
          <w:b w:val="0"/>
          <w:bCs/>
          <w:color w:val="000000"/>
          <w:sz w:val="32"/>
          <w:szCs w:val="32"/>
        </w:rPr>
        <w:t>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04"/>
      <w:bookmarkEnd w:id="305"/>
    </w:p>
    <w:p w14:paraId="6816AC6A">
      <w:pPr>
        <w:wordWrap/>
        <w:spacing w:before="157" w:beforeLines="50" w:line="560" w:lineRule="exact"/>
        <w:ind w:firstLine="640" w:firstLineChars="200"/>
        <w:jc w:val="center"/>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06" w:name="_Toc28651_WPSOffice_Level3"/>
      <w:bookmarkStart w:id="307" w:name="_Toc6385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06"/>
      <w:bookmarkEnd w:id="307"/>
    </w:p>
    <w:p w14:paraId="0818D70F">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308" w:name="_Toc130_WPSOffice_Level3"/>
      <w:bookmarkStart w:id="309" w:name="_Toc13325_WPSOffice_Level3"/>
      <w:r>
        <w:rPr>
          <w:rFonts w:hint="eastAsia" w:ascii="仿宋_GB2312" w:hAnsi="仿宋_GB2312" w:eastAsia="仿宋_GB2312" w:cs="仿宋_GB2312"/>
          <w:b w:val="0"/>
          <w:bCs/>
          <w:color w:val="000000"/>
          <w:sz w:val="32"/>
          <w:szCs w:val="32"/>
        </w:rPr>
        <w:t>年   月  日</w:t>
      </w:r>
      <w:bookmarkEnd w:id="308"/>
      <w:bookmarkEnd w:id="309"/>
    </w:p>
    <w:p w14:paraId="5DFBAB6C">
      <w:pPr>
        <w:widowControl/>
        <w:wordWrap/>
        <w:snapToGrid w:val="0"/>
        <w:spacing w:before="157" w:beforeLines="50" w:line="560" w:lineRule="exact"/>
        <w:outlineLvl w:val="9"/>
        <w:rPr>
          <w:rFonts w:hint="eastAsia" w:ascii="宋体"/>
          <w:b/>
          <w:color w:val="000000"/>
          <w:sz w:val="28"/>
          <w:szCs w:val="28"/>
        </w:rPr>
      </w:pPr>
    </w:p>
    <w:p w14:paraId="6EDCE34F">
      <w:pPr>
        <w:widowControl/>
        <w:wordWrap/>
        <w:snapToGrid w:val="0"/>
        <w:spacing w:before="157" w:beforeLines="50" w:line="560" w:lineRule="exact"/>
        <w:jc w:val="left"/>
        <w:outlineLvl w:val="2"/>
        <w:rPr>
          <w:rFonts w:hint="eastAsia" w:ascii="宋体" w:hAnsi="宋体"/>
          <w:b/>
          <w:bCs/>
          <w:color w:val="000000"/>
          <w:sz w:val="36"/>
          <w:szCs w:val="36"/>
        </w:rPr>
      </w:pPr>
      <w:bookmarkStart w:id="310" w:name="_Toc12487"/>
      <w:bookmarkStart w:id="311" w:name="_Toc16050"/>
      <w:bookmarkStart w:id="312" w:name="_Toc17887_WPSOffice_Level2"/>
      <w:bookmarkStart w:id="313" w:name="_Toc20882_WPSOffice_Level3"/>
      <w:bookmarkStart w:id="314" w:name="_Toc9169"/>
      <w:bookmarkStart w:id="315" w:name="_Toc3082"/>
      <w:bookmarkStart w:id="316" w:name="_Toc26257_WPSOffice_Level2"/>
      <w:r>
        <w:rPr>
          <w:rFonts w:hint="eastAsia" w:ascii="楷体_GB2312" w:hAnsi="楷体_GB2312" w:eastAsia="楷体_GB2312" w:cs="楷体_GB2312"/>
          <w:b/>
          <w:color w:val="000000"/>
          <w:sz w:val="32"/>
          <w:szCs w:val="32"/>
          <w:lang w:eastAsia="zh-CN"/>
        </w:rPr>
        <w:t>附件2：法定代表人证明书</w:t>
      </w:r>
      <w:bookmarkEnd w:id="310"/>
      <w:bookmarkEnd w:id="311"/>
      <w:bookmarkEnd w:id="312"/>
      <w:bookmarkEnd w:id="313"/>
      <w:bookmarkEnd w:id="314"/>
      <w:bookmarkEnd w:id="315"/>
      <w:bookmarkEnd w:id="316"/>
    </w:p>
    <w:p w14:paraId="6AF902CB">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17" w:name="_Toc32036_WPSOffice_Level1"/>
      <w:bookmarkStart w:id="318" w:name="_Toc6898_WPSOffice_Level2"/>
      <w:bookmarkStart w:id="319" w:name="_Toc14917_WPSOffice_Level1"/>
      <w:bookmarkStart w:id="320" w:name="_Toc28170_WPSOffice_Level2"/>
      <w:r>
        <w:rPr>
          <w:rFonts w:hint="eastAsia" w:ascii="仿宋_GB2312" w:hAnsi="仿宋_GB2312" w:eastAsia="仿宋_GB2312" w:cs="仿宋_GB2312"/>
          <w:b/>
          <w:color w:val="000000"/>
          <w:sz w:val="32"/>
          <w:szCs w:val="32"/>
          <w:lang w:eastAsia="zh-CN"/>
        </w:rPr>
        <w:t>法定代表人证明书</w:t>
      </w:r>
      <w:bookmarkEnd w:id="317"/>
      <w:bookmarkEnd w:id="318"/>
      <w:bookmarkEnd w:id="319"/>
      <w:bookmarkEnd w:id="320"/>
    </w:p>
    <w:p w14:paraId="53EEBA15">
      <w:pPr>
        <w:wordWrap/>
        <w:spacing w:before="157" w:beforeLines="50" w:line="560" w:lineRule="exact"/>
        <w:outlineLvl w:val="9"/>
        <w:rPr>
          <w:rFonts w:hint="default" w:ascii="仿宋_GB2312" w:hAnsi="仿宋_GB2312" w:eastAsia="仿宋_GB2312" w:cs="仿宋_GB2312"/>
          <w:b w:val="0"/>
          <w:bCs w:val="0"/>
          <w:color w:val="000000"/>
          <w:kern w:val="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0C264EE6">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u w:val="single"/>
        </w:rPr>
        <w:t xml:space="preserve">  （法定代表人姓名）  </w:t>
      </w:r>
      <w:r>
        <w:rPr>
          <w:rFonts w:hint="eastAsia" w:ascii="仿宋_GB2312" w:hAnsi="仿宋_GB2312" w:eastAsia="仿宋_GB2312" w:cs="仿宋_GB2312"/>
          <w:b w:val="0"/>
          <w:bCs w:val="0"/>
          <w:color w:val="000000"/>
          <w:sz w:val="32"/>
          <w:szCs w:val="32"/>
        </w:rPr>
        <w:t>现任我单位</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职务，为法定代表人，特此证明。</w:t>
      </w:r>
    </w:p>
    <w:p w14:paraId="295D588D">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法定代表人基本情况：</w:t>
      </w:r>
    </w:p>
    <w:p w14:paraId="1C0153C0">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性别：</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年龄：</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民族：</w:t>
      </w:r>
      <w:r>
        <w:rPr>
          <w:rFonts w:hint="eastAsia" w:ascii="仿宋_GB2312" w:hAnsi="仿宋_GB2312" w:eastAsia="仿宋_GB2312" w:cs="仿宋_GB2312"/>
          <w:b w:val="0"/>
          <w:bCs w:val="0"/>
          <w:color w:val="000000"/>
          <w:sz w:val="32"/>
          <w:szCs w:val="32"/>
          <w:u w:val="single"/>
        </w:rPr>
        <w:t xml:space="preserve">     </w:t>
      </w:r>
    </w:p>
    <w:p w14:paraId="76FD9403">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sz w:val="32"/>
          <w:szCs w:val="32"/>
          <w:u w:val="single"/>
        </w:rPr>
        <w:t xml:space="preserve">                             </w:t>
      </w:r>
    </w:p>
    <w:p w14:paraId="0A4E1BC8">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身份证号码：</w:t>
      </w:r>
      <w:r>
        <w:rPr>
          <w:rFonts w:hint="eastAsia" w:ascii="仿宋_GB2312" w:hAnsi="仿宋_GB2312" w:eastAsia="仿宋_GB2312" w:cs="仿宋_GB2312"/>
          <w:b w:val="0"/>
          <w:bCs w:val="0"/>
          <w:color w:val="000000"/>
          <w:sz w:val="32"/>
          <w:szCs w:val="32"/>
          <w:u w:val="single"/>
        </w:rPr>
        <w:t xml:space="preserve">                       </w:t>
      </w:r>
    </w:p>
    <w:p w14:paraId="4A9525CC">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附法定代表人第二代身份证双面扫描</w:t>
      </w:r>
      <w:r>
        <w:rPr>
          <w:rFonts w:hint="eastAsia" w:ascii="仿宋_GB2312" w:hAnsi="仿宋_GB2312" w:eastAsia="仿宋_GB2312" w:cs="仿宋_GB2312"/>
          <w:b w:val="0"/>
          <w:bCs w:val="0"/>
          <w:color w:val="000000"/>
          <w:sz w:val="32"/>
          <w:szCs w:val="32"/>
          <w:lang w:eastAsia="zh-CN"/>
        </w:rPr>
        <w:t>或其他身份证明材料</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sz w:val="32"/>
          <w:szCs w:val="32"/>
          <w:lang w:eastAsia="zh-CN"/>
        </w:rPr>
        <w:t>）</w:t>
      </w:r>
    </w:p>
    <w:p w14:paraId="56C6812A">
      <w:pPr>
        <w:wordWrap/>
        <w:autoSpaceDE w:val="0"/>
        <w:autoSpaceDN w:val="0"/>
        <w:adjustRightInd w:val="0"/>
        <w:spacing w:before="157" w:beforeLines="50" w:line="560" w:lineRule="exact"/>
        <w:ind w:firstLine="480" w:firstLineChars="200"/>
        <w:jc w:val="left"/>
        <w:outlineLvl w:val="9"/>
        <w:rPr>
          <w:rFonts w:hint="eastAsia" w:ascii="宋体" w:hAnsi="宋体" w:cs="宋体"/>
          <w:color w:val="000000"/>
          <w:kern w:val="0"/>
          <w:sz w:val="24"/>
        </w:rPr>
      </w:pPr>
    </w:p>
    <w:p w14:paraId="34C5F3ED">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单位</w:t>
      </w:r>
      <w:r>
        <w:rPr>
          <w:rFonts w:hint="eastAsia" w:ascii="仿宋_GB2312" w:hAnsi="仿宋_GB2312" w:eastAsia="仿宋_GB2312" w:cs="仿宋_GB2312"/>
          <w:b w:val="0"/>
          <w:bCs w:val="0"/>
          <w:color w:val="000000"/>
          <w:sz w:val="32"/>
          <w:szCs w:val="32"/>
          <w:lang w:eastAsia="zh-CN"/>
        </w:rPr>
        <w:t>名称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（公章）</w:t>
      </w:r>
    </w:p>
    <w:p w14:paraId="3BAC2021">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14:paraId="57509129">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000000"/>
          <w:sz w:val="32"/>
          <w:szCs w:val="32"/>
        </w:rPr>
      </w:pPr>
      <w:bookmarkStart w:id="321" w:name="_Toc10597_WPSOffice_Level3"/>
      <w:r>
        <w:rPr>
          <w:rFonts w:hint="eastAsia" w:ascii="仿宋_GB2312" w:hAnsi="仿宋_GB2312" w:eastAsia="仿宋_GB2312" w:cs="仿宋_GB2312"/>
          <w:b w:val="0"/>
          <w:bCs w:val="0"/>
          <w:color w:val="000000"/>
          <w:sz w:val="32"/>
          <w:szCs w:val="32"/>
          <w:lang w:val="en-US" w:eastAsia="zh-CN"/>
        </w:rPr>
        <w:t xml:space="preserve">                                       </w:t>
      </w:r>
      <w:bookmarkStart w:id="322" w:name="_Toc16117_WPSOffice_Level3"/>
      <w:r>
        <w:rPr>
          <w:rFonts w:hint="eastAsia" w:ascii="仿宋_GB2312" w:hAnsi="仿宋_GB2312" w:eastAsia="仿宋_GB2312" w:cs="仿宋_GB2312"/>
          <w:b w:val="0"/>
          <w:bCs w:val="0"/>
          <w:color w:val="000000"/>
          <w:sz w:val="32"/>
          <w:szCs w:val="32"/>
        </w:rPr>
        <w:t>年   月   日</w:t>
      </w:r>
      <w:bookmarkEnd w:id="321"/>
      <w:bookmarkEnd w:id="322"/>
    </w:p>
    <w:p w14:paraId="66D0B5A1">
      <w:pPr>
        <w:wordWrap/>
        <w:spacing w:before="157" w:beforeLines="50" w:line="560" w:lineRule="exact"/>
        <w:ind w:right="480"/>
        <w:jc w:val="right"/>
        <w:outlineLvl w:val="9"/>
        <w:rPr>
          <w:rFonts w:hint="eastAsia" w:ascii="宋体"/>
          <w:b/>
          <w:color w:val="000000"/>
          <w:sz w:val="36"/>
          <w:szCs w:val="36"/>
        </w:rPr>
      </w:pPr>
    </w:p>
    <w:p w14:paraId="4E335944">
      <w:pPr>
        <w:wordWrap/>
        <w:spacing w:before="157" w:beforeLines="50" w:line="560" w:lineRule="exact"/>
        <w:jc w:val="right"/>
        <w:rPr>
          <w:rFonts w:hint="eastAsia" w:ascii="宋体"/>
          <w:b/>
          <w:color w:val="000000"/>
          <w:sz w:val="36"/>
          <w:szCs w:val="36"/>
        </w:rPr>
      </w:pPr>
    </w:p>
    <w:p w14:paraId="3063C447">
      <w:pPr>
        <w:wordWrap/>
        <w:spacing w:before="157" w:beforeLines="50" w:line="560" w:lineRule="exact"/>
        <w:rPr>
          <w:rFonts w:hint="eastAsia" w:ascii="宋体"/>
          <w:b/>
          <w:color w:val="000000"/>
          <w:sz w:val="36"/>
          <w:szCs w:val="36"/>
        </w:rPr>
      </w:pPr>
    </w:p>
    <w:p w14:paraId="12CB3C0F">
      <w:pPr>
        <w:widowControl/>
        <w:wordWrap/>
        <w:snapToGrid w:val="0"/>
        <w:spacing w:before="157" w:beforeLines="50" w:line="560" w:lineRule="exact"/>
        <w:jc w:val="left"/>
        <w:outlineLvl w:val="2"/>
        <w:rPr>
          <w:rFonts w:hint="eastAsia" w:ascii="宋体" w:hAnsi="宋体"/>
          <w:b/>
          <w:color w:val="000000"/>
          <w:sz w:val="36"/>
          <w:szCs w:val="36"/>
        </w:rPr>
      </w:pPr>
      <w:bookmarkStart w:id="323" w:name="_Toc31901"/>
      <w:bookmarkStart w:id="324" w:name="_Toc21545_WPSOffice_Level3"/>
      <w:bookmarkStart w:id="325" w:name="_Toc32413"/>
      <w:bookmarkStart w:id="326" w:name="_Toc18183"/>
      <w:bookmarkStart w:id="327" w:name="_Toc23035_WPSOffice_Level2"/>
      <w:bookmarkStart w:id="328" w:name="_Toc27782"/>
      <w:r>
        <w:rPr>
          <w:rFonts w:hint="eastAsia" w:ascii="楷体_GB2312" w:hAnsi="楷体_GB2312" w:eastAsia="楷体_GB2312" w:cs="楷体_GB2312"/>
          <w:b/>
          <w:color w:val="000000"/>
          <w:sz w:val="32"/>
          <w:szCs w:val="32"/>
          <w:lang w:eastAsia="zh-CN"/>
        </w:rPr>
        <w:t>附件3：法定代表人授权书</w:t>
      </w:r>
      <w:bookmarkEnd w:id="323"/>
      <w:bookmarkEnd w:id="324"/>
      <w:bookmarkEnd w:id="325"/>
      <w:bookmarkEnd w:id="326"/>
      <w:bookmarkEnd w:id="327"/>
      <w:bookmarkEnd w:id="328"/>
    </w:p>
    <w:p w14:paraId="541E21FC">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29" w:name="_Toc5048_WPSOffice_Level2"/>
      <w:bookmarkStart w:id="330" w:name="_Toc26434_WPSOffice_Level2"/>
      <w:bookmarkStart w:id="331" w:name="_Toc1148_WPSOffice_Level3"/>
      <w:r>
        <w:rPr>
          <w:rFonts w:hint="eastAsia" w:ascii="仿宋_GB2312" w:hAnsi="仿宋_GB2312" w:eastAsia="仿宋_GB2312" w:cs="仿宋_GB2312"/>
          <w:b/>
          <w:color w:val="000000"/>
          <w:sz w:val="32"/>
          <w:szCs w:val="32"/>
          <w:lang w:eastAsia="zh-CN"/>
        </w:rPr>
        <w:t>法定代表人授权书</w:t>
      </w:r>
      <w:bookmarkEnd w:id="329"/>
      <w:bookmarkEnd w:id="330"/>
      <w:bookmarkEnd w:id="331"/>
    </w:p>
    <w:p w14:paraId="2C724360">
      <w:pPr>
        <w:widowControl w:val="0"/>
        <w:wordWrap/>
        <w:adjustRightInd/>
        <w:snapToGrid/>
        <w:spacing w:line="560" w:lineRule="exact"/>
        <w:ind w:firstLine="263" w:firstLineChars="82"/>
        <w:textAlignment w:val="auto"/>
        <w:outlineLvl w:val="9"/>
        <w:rPr>
          <w:rFonts w:hint="default" w:ascii="仿宋_GB2312" w:hAnsi="仿宋_GB2312" w:eastAsia="仿宋_GB2312" w:cs="仿宋_GB2312"/>
          <w:color w:val="000000"/>
          <w:sz w:val="32"/>
          <w:szCs w:val="32"/>
          <w:u w:val="single"/>
          <w:lang w:val="en-US" w:eastAsia="zh-CN"/>
        </w:rPr>
      </w:pPr>
      <w:bookmarkStart w:id="332" w:name="_Toc25306_WPSOffice_Level2"/>
      <w:bookmarkStart w:id="333" w:name="_Toc16084_WPSOffice_Level2"/>
      <w:bookmarkStart w:id="334" w:name="_Toc6307_WPSOffice_Level2"/>
      <w:r>
        <w:rPr>
          <w:rFonts w:hint="eastAsia" w:ascii="仿宋_GB2312" w:hAnsi="仿宋_GB2312" w:eastAsia="仿宋_GB2312" w:cs="仿宋_GB2312"/>
          <w:b/>
          <w:bCs/>
          <w:color w:val="000000"/>
          <w:sz w:val="32"/>
          <w:szCs w:val="32"/>
        </w:rPr>
        <w:t>致：</w:t>
      </w:r>
      <w:bookmarkEnd w:id="332"/>
      <w:bookmarkEnd w:id="333"/>
      <w:bookmarkEnd w:id="334"/>
      <w:r>
        <w:rPr>
          <w:rFonts w:hint="eastAsia" w:ascii="仿宋_GB2312" w:hAnsi="仿宋_GB2312" w:eastAsia="仿宋_GB2312" w:cs="仿宋_GB2312"/>
          <w:b/>
          <w:bCs/>
          <w:color w:val="000000"/>
          <w:sz w:val="32"/>
          <w:szCs w:val="32"/>
          <w:u w:val="single"/>
          <w:lang w:val="en-US" w:eastAsia="zh-CN"/>
        </w:rPr>
        <w:t xml:space="preserve">             </w:t>
      </w:r>
    </w:p>
    <w:p w14:paraId="58BC14F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竞标人</w:t>
      </w:r>
      <w:r>
        <w:rPr>
          <w:rFonts w:hint="eastAsia" w:ascii="仿宋_GB2312" w:hAnsi="仿宋_GB2312" w:eastAsia="仿宋_GB2312" w:cs="仿宋_GB2312"/>
          <w:color w:val="000000"/>
          <w:sz w:val="32"/>
          <w:szCs w:val="32"/>
          <w:u w:val="single"/>
        </w:rPr>
        <w:t xml:space="preserve">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31D69A3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color w:val="000000"/>
          <w:sz w:val="32"/>
          <w:szCs w:val="32"/>
          <w:lang w:eastAsia="zh-CN"/>
        </w:rPr>
        <w:t>谈判、答疑</w:t>
      </w:r>
      <w:r>
        <w:rPr>
          <w:rFonts w:hint="eastAsia" w:ascii="仿宋_GB2312" w:hAnsi="仿宋_GB2312" w:eastAsia="仿宋_GB2312" w:cs="仿宋_GB2312"/>
          <w:color w:val="000000"/>
          <w:sz w:val="32"/>
          <w:szCs w:val="32"/>
        </w:rPr>
        <w:t>等具体工作，并签署全部有关的文件、资料。</w:t>
      </w:r>
    </w:p>
    <w:p w14:paraId="4163563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146A210F">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6532259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14:paraId="15D9C50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14:paraId="29E2ACC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12872CE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5C80C235">
      <w:pPr>
        <w:widowControl w:val="0"/>
        <w:wordWrap/>
        <w:adjustRightInd/>
        <w:snapToGrid/>
        <w:spacing w:line="560" w:lineRule="exact"/>
        <w:ind w:firstLine="640" w:firstLineChars="200"/>
        <w:textAlignment w:val="auto"/>
        <w:outlineLvl w:val="9"/>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70F05342">
      <w:pPr>
        <w:wordWrap/>
        <w:spacing w:before="157" w:beforeLines="50" w:line="560" w:lineRule="exact"/>
        <w:ind w:firstLine="4800" w:firstLineChars="1500"/>
        <w:jc w:val="right"/>
        <w:outlineLvl w:val="9"/>
        <w:rPr>
          <w:rFonts w:hint="eastAsia" w:ascii="仿宋_GB2312" w:hAnsi="仿宋_GB2312" w:eastAsia="仿宋_GB2312" w:cs="仿宋_GB2312"/>
          <w:b w:val="0"/>
          <w:bCs/>
          <w:color w:val="000000"/>
          <w:sz w:val="32"/>
          <w:szCs w:val="32"/>
        </w:rPr>
      </w:pPr>
      <w:bookmarkStart w:id="335" w:name="_Toc1383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kern w:val="0"/>
          <w:sz w:val="32"/>
          <w:szCs w:val="32"/>
          <w:u w:val="single"/>
        </w:rPr>
        <w:t xml:space="preserve">       </w:t>
      </w:r>
      <w:r>
        <w:rPr>
          <w:rFonts w:hint="eastAsia" w:ascii="仿宋_GB2312" w:hAnsi="仿宋_GB2312" w:eastAsia="仿宋_GB2312" w:cs="仿宋_GB2312"/>
          <w:b w:val="0"/>
          <w:bCs/>
          <w:color w:val="000000"/>
          <w:sz w:val="32"/>
          <w:szCs w:val="32"/>
        </w:rPr>
        <w:t>（公章）</w:t>
      </w:r>
      <w:bookmarkEnd w:id="335"/>
      <w:r>
        <w:rPr>
          <w:rFonts w:hint="eastAsia" w:ascii="仿宋_GB2312" w:hAnsi="仿宋_GB2312" w:eastAsia="仿宋_GB2312" w:cs="仿宋_GB2312"/>
          <w:b w:val="0"/>
          <w:bCs/>
          <w:color w:val="000000"/>
          <w:sz w:val="32"/>
          <w:szCs w:val="32"/>
        </w:rPr>
        <w:t xml:space="preserve">    </w:t>
      </w:r>
    </w:p>
    <w:p w14:paraId="3ABA2097">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 xml:space="preserve">（签字或盖章）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36" w:name="_Toc32599_WPSOffice_Level3"/>
      <w:bookmarkStart w:id="337" w:name="_Toc6591_WPSOffice_Level3"/>
      <w:r>
        <w:rPr>
          <w:rFonts w:hint="eastAsia" w:ascii="仿宋_GB2312" w:hAnsi="仿宋_GB2312" w:eastAsia="仿宋_GB2312" w:cs="仿宋_GB2312"/>
          <w:b w:val="0"/>
          <w:bCs/>
          <w:color w:val="000000"/>
          <w:sz w:val="32"/>
          <w:szCs w:val="32"/>
        </w:rPr>
        <w:t>年   月   日</w:t>
      </w:r>
      <w:bookmarkEnd w:id="336"/>
      <w:bookmarkEnd w:id="337"/>
    </w:p>
    <w:p w14:paraId="4FD63C14">
      <w:pPr>
        <w:wordWrap/>
        <w:spacing w:before="157" w:beforeLines="50" w:line="560" w:lineRule="exact"/>
        <w:outlineLvl w:val="9"/>
        <w:rPr>
          <w:rFonts w:hint="eastAsia" w:ascii="宋体" w:hAnsi="宋体"/>
          <w:b/>
          <w:bCs/>
          <w:color w:val="000000"/>
          <w:sz w:val="24"/>
        </w:rPr>
      </w:pPr>
    </w:p>
    <w:p w14:paraId="61DA9598">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38" w:name="_Toc26653_WPSOffice_Level3"/>
      <w:bookmarkStart w:id="339" w:name="_Toc16704"/>
      <w:bookmarkStart w:id="340" w:name="_Toc30919"/>
      <w:bookmarkStart w:id="341" w:name="_Toc7737_WPSOffice_Level3"/>
      <w:bookmarkStart w:id="342" w:name="_Toc674"/>
      <w:bookmarkStart w:id="343" w:name="_Toc23618"/>
      <w:r>
        <w:rPr>
          <w:rFonts w:hint="eastAsia" w:ascii="楷体_GB2312" w:hAnsi="楷体_GB2312" w:eastAsia="楷体_GB2312" w:cs="楷体_GB2312"/>
          <w:b/>
          <w:color w:val="000000"/>
          <w:sz w:val="32"/>
          <w:szCs w:val="32"/>
          <w:lang w:eastAsia="zh-CN"/>
        </w:rPr>
        <w:t>附件4：竞标人承诺函</w:t>
      </w:r>
      <w:bookmarkEnd w:id="338"/>
      <w:bookmarkEnd w:id="339"/>
      <w:bookmarkEnd w:id="340"/>
      <w:bookmarkEnd w:id="341"/>
      <w:bookmarkEnd w:id="342"/>
      <w:bookmarkEnd w:id="343"/>
    </w:p>
    <w:p w14:paraId="16F64105">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44" w:name="_Toc17639_WPSOffice_Level2"/>
      <w:bookmarkStart w:id="345" w:name="_Toc27597_WPSOffice_Level3"/>
      <w:bookmarkStart w:id="346" w:name="_Toc2453_WPSOffice_Level2"/>
      <w:r>
        <w:rPr>
          <w:rFonts w:hint="eastAsia" w:ascii="仿宋_GB2312" w:hAnsi="仿宋_GB2312" w:eastAsia="仿宋_GB2312" w:cs="仿宋_GB2312"/>
          <w:b/>
          <w:color w:val="000000"/>
          <w:sz w:val="32"/>
          <w:szCs w:val="32"/>
          <w:lang w:eastAsia="zh-CN"/>
        </w:rPr>
        <w:t>竞标人承诺函</w:t>
      </w:r>
      <w:bookmarkEnd w:id="344"/>
      <w:bookmarkEnd w:id="345"/>
      <w:bookmarkEnd w:id="346"/>
    </w:p>
    <w:p w14:paraId="5169E2E8">
      <w:pPr>
        <w:widowControl w:val="0"/>
        <w:wordWrap/>
        <w:adjustRightInd/>
        <w:snapToGrid/>
        <w:spacing w:line="560" w:lineRule="exact"/>
        <w:textAlignment w:val="auto"/>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26A72F7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关于贵方</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（项目名称及编号）</w:t>
      </w:r>
      <w:r>
        <w:rPr>
          <w:rFonts w:hint="eastAsia" w:ascii="仿宋_GB2312" w:hAnsi="仿宋_GB2312" w:eastAsia="仿宋_GB2312" w:cs="仿宋_GB2312"/>
          <w:b w:val="0"/>
          <w:bCs w:val="0"/>
          <w:color w:val="000000"/>
          <w:sz w:val="32"/>
          <w:szCs w:val="32"/>
        </w:rPr>
        <w:t>项目，本签字人愿意参加</w:t>
      </w:r>
      <w:r>
        <w:rPr>
          <w:rFonts w:hint="eastAsia" w:ascii="仿宋_GB2312" w:hAnsi="仿宋_GB2312" w:eastAsia="仿宋_GB2312" w:cs="仿宋_GB2312"/>
          <w:b w:val="0"/>
          <w:bCs w:val="0"/>
          <w:color w:val="000000"/>
          <w:sz w:val="32"/>
          <w:szCs w:val="32"/>
          <w:lang w:eastAsia="zh-CN"/>
        </w:rPr>
        <w:t>谈判</w:t>
      </w:r>
      <w:r>
        <w:rPr>
          <w:rFonts w:hint="eastAsia" w:ascii="仿宋_GB2312" w:hAnsi="仿宋_GB2312" w:eastAsia="仿宋_GB2312" w:cs="仿宋_GB2312"/>
          <w:b w:val="0"/>
          <w:bCs w:val="0"/>
          <w:color w:val="000000"/>
          <w:sz w:val="32"/>
          <w:szCs w:val="32"/>
        </w:rPr>
        <w:t>，提供</w:t>
      </w:r>
      <w:r>
        <w:rPr>
          <w:rFonts w:hint="eastAsia" w:ascii="仿宋_GB2312" w:hAnsi="仿宋_GB2312" w:eastAsia="仿宋_GB2312" w:cs="仿宋_GB2312"/>
          <w:b w:val="0"/>
          <w:bCs w:val="0"/>
          <w:color w:val="000000"/>
          <w:sz w:val="32"/>
          <w:szCs w:val="32"/>
          <w:lang w:val="en-US" w:eastAsia="zh-CN"/>
        </w:rPr>
        <w:t>相应服务</w:t>
      </w:r>
      <w:r>
        <w:rPr>
          <w:rFonts w:hint="eastAsia" w:ascii="仿宋_GB2312" w:hAnsi="仿宋_GB2312" w:eastAsia="仿宋_GB2312" w:cs="仿宋_GB2312"/>
          <w:b w:val="0"/>
          <w:bCs w:val="0"/>
          <w:color w:val="000000"/>
          <w:sz w:val="32"/>
          <w:szCs w:val="32"/>
        </w:rPr>
        <w:t>，并证实提交的所有资料是准确的和真实的。同时，我代表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u w:val="single"/>
        </w:rPr>
        <w:t>（</w:t>
      </w:r>
      <w:r>
        <w:rPr>
          <w:rFonts w:hint="eastAsia" w:ascii="仿宋_GB2312" w:hAnsi="仿宋_GB2312" w:eastAsia="仿宋_GB2312" w:cs="仿宋_GB2312"/>
          <w:b w:val="0"/>
          <w:bCs w:val="0"/>
          <w:color w:val="000000"/>
          <w:sz w:val="32"/>
          <w:szCs w:val="32"/>
          <w:u w:val="single"/>
          <w:lang w:eastAsia="zh-CN"/>
        </w:rPr>
        <w:t>竞标人</w:t>
      </w:r>
      <w:r>
        <w:rPr>
          <w:rFonts w:hint="eastAsia" w:ascii="仿宋_GB2312" w:hAnsi="仿宋_GB2312" w:eastAsia="仿宋_GB2312" w:cs="仿宋_GB2312"/>
          <w:b w:val="0"/>
          <w:bCs w:val="0"/>
          <w:color w:val="000000"/>
          <w:sz w:val="32"/>
          <w:szCs w:val="32"/>
          <w:u w:val="single"/>
        </w:rPr>
        <w:t>名称）</w:t>
      </w:r>
      <w:r>
        <w:rPr>
          <w:rFonts w:hint="eastAsia" w:ascii="仿宋_GB2312" w:hAnsi="仿宋_GB2312" w:eastAsia="仿宋_GB2312" w:cs="仿宋_GB2312"/>
          <w:b w:val="0"/>
          <w:bCs w:val="0"/>
          <w:color w:val="000000"/>
          <w:sz w:val="32"/>
          <w:szCs w:val="32"/>
        </w:rPr>
        <w:t>，在此作如下承诺：</w:t>
      </w:r>
    </w:p>
    <w:p w14:paraId="39D83B3F">
      <w:pPr>
        <w:widowControl w:val="0"/>
        <w:wordWrap/>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000000"/>
          <w:sz w:val="32"/>
          <w:szCs w:val="32"/>
        </w:rPr>
      </w:pPr>
      <w:bookmarkStart w:id="347" w:name="_Toc11526"/>
      <w:r>
        <w:rPr>
          <w:rFonts w:hint="eastAsia" w:ascii="仿宋_GB2312" w:hAnsi="仿宋_GB2312" w:eastAsia="仿宋_GB2312" w:cs="仿宋_GB2312"/>
          <w:b w:val="0"/>
          <w:bCs w:val="0"/>
          <w:color w:val="000000"/>
          <w:sz w:val="32"/>
          <w:szCs w:val="32"/>
        </w:rPr>
        <w:t>1、完全理解和接受谈判文件的一切规定和要求；</w:t>
      </w:r>
      <w:bookmarkEnd w:id="347"/>
    </w:p>
    <w:p w14:paraId="7A6494FF">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2、若</w:t>
      </w:r>
      <w:r>
        <w:rPr>
          <w:rFonts w:hint="eastAsia" w:ascii="仿宋_GB2312" w:hAnsi="仿宋_GB2312" w:eastAsia="仿宋_GB2312" w:cs="仿宋_GB2312"/>
          <w:b w:val="0"/>
          <w:bCs w:val="0"/>
          <w:color w:val="000000"/>
          <w:sz w:val="32"/>
          <w:szCs w:val="32"/>
          <w:lang w:eastAsia="zh-CN"/>
        </w:rPr>
        <w:t>成交</w:t>
      </w:r>
      <w:r>
        <w:rPr>
          <w:rFonts w:hint="eastAsia" w:ascii="仿宋_GB2312" w:hAnsi="仿宋_GB2312" w:eastAsia="仿宋_GB2312" w:cs="仿宋_GB2312"/>
          <w:b w:val="0"/>
          <w:bCs w:val="0"/>
          <w:color w:val="000000"/>
          <w:sz w:val="32"/>
          <w:szCs w:val="32"/>
        </w:rPr>
        <w:t>，我方将按照谈判文件的具体规定与</w:t>
      </w:r>
      <w:r>
        <w:rPr>
          <w:rFonts w:hint="eastAsia" w:ascii="仿宋_GB2312" w:hAnsi="仿宋_GB2312" w:eastAsia="仿宋_GB2312" w:cs="仿宋_GB2312"/>
          <w:b w:val="0"/>
          <w:bCs w:val="0"/>
          <w:color w:val="000000"/>
          <w:sz w:val="32"/>
          <w:szCs w:val="32"/>
          <w:lang w:val="en-US" w:eastAsia="zh-CN"/>
        </w:rPr>
        <w:t>招标</w:t>
      </w:r>
      <w:r>
        <w:rPr>
          <w:rFonts w:hint="eastAsia" w:ascii="仿宋_GB2312" w:hAnsi="仿宋_GB2312" w:eastAsia="仿宋_GB2312" w:cs="仿宋_GB2312"/>
          <w:b w:val="0"/>
          <w:bCs w:val="0"/>
          <w:color w:val="000000"/>
          <w:sz w:val="32"/>
          <w:szCs w:val="32"/>
        </w:rPr>
        <w:t>人签订合同，并且严格履行合同义务，提供优质的产品和服务。如果在合同执行过程中，发现质量、数量出现问题，我方一定尽快更换或补退货，并承担相应的经济责任；</w:t>
      </w:r>
    </w:p>
    <w:p w14:paraId="0BB1C08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000000"/>
          <w:sz w:val="32"/>
          <w:szCs w:val="32"/>
          <w:lang w:eastAsia="zh-CN"/>
        </w:rPr>
        <w:t>违反</w:t>
      </w:r>
      <w:r>
        <w:rPr>
          <w:rFonts w:hint="eastAsia" w:ascii="仿宋_GB2312" w:hAnsi="仿宋_GB2312" w:eastAsia="仿宋_GB2312" w:cs="仿宋_GB2312"/>
          <w:b w:val="0"/>
          <w:bCs w:val="0"/>
          <w:color w:val="000000"/>
          <w:sz w:val="32"/>
          <w:szCs w:val="32"/>
        </w:rPr>
        <w:t>，愿承担相应的一切责任。</w:t>
      </w:r>
    </w:p>
    <w:p w14:paraId="2439105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4、我方承诺，除谈判文件中规定的优质产品外，所投的产品均为国产产品，且均符合国家强制性标准。若有不实，愿承担相应的责任。</w:t>
      </w:r>
    </w:p>
    <w:p w14:paraId="6AD5978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5、在整个谈判过程中我方若有违规行为，贵方可按谈判文件之规定给予处罚，我方完全接受。</w:t>
      </w:r>
    </w:p>
    <w:p w14:paraId="1313602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6、若成交，本承诺将成为合同不可分割的一部分，与合同具有同等的法律效力。</w:t>
      </w:r>
    </w:p>
    <w:p w14:paraId="33614EAD">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48" w:name="_Toc29941_WPSOffice_Level3"/>
      <w:r>
        <w:rPr>
          <w:rFonts w:hint="eastAsia" w:ascii="仿宋_GB2312" w:hAnsi="仿宋_GB2312" w:eastAsia="仿宋_GB2312" w:cs="仿宋_GB2312"/>
          <w:b w:val="0"/>
          <w:bCs/>
          <w:color w:val="000000"/>
          <w:sz w:val="32"/>
          <w:szCs w:val="32"/>
          <w:lang w:val="en-US" w:eastAsia="zh-CN"/>
        </w:rPr>
        <w:t xml:space="preserve">  </w:t>
      </w:r>
      <w:bookmarkStart w:id="349" w:name="_Toc11979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48"/>
      <w:bookmarkEnd w:id="349"/>
    </w:p>
    <w:p w14:paraId="24A07F0E">
      <w:pPr>
        <w:widowControl w:val="0"/>
        <w:wordWrap/>
        <w:adjustRightInd/>
        <w:snapToGrid/>
        <w:spacing w:line="560" w:lineRule="exact"/>
        <w:ind w:firstLine="640" w:firstLineChars="200"/>
        <w:jc w:val="center"/>
        <w:textAlignment w:val="auto"/>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50" w:name="_Toc15106_WPSOffice_Level3"/>
      <w:bookmarkStart w:id="351" w:name="_Toc22507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50"/>
      <w:bookmarkEnd w:id="351"/>
    </w:p>
    <w:p w14:paraId="0EDCA3F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52" w:name="_Toc24254_WPSOffice_Level3"/>
      <w:r>
        <w:rPr>
          <w:rFonts w:hint="eastAsia" w:ascii="仿宋_GB2312" w:hAnsi="仿宋_GB2312" w:eastAsia="仿宋_GB2312" w:cs="仿宋_GB2312"/>
          <w:b w:val="0"/>
          <w:bCs/>
          <w:color w:val="000000"/>
          <w:sz w:val="32"/>
          <w:szCs w:val="32"/>
          <w:lang w:val="en-US" w:eastAsia="zh-CN"/>
        </w:rPr>
        <w:t xml:space="preserve">                      </w:t>
      </w:r>
      <w:bookmarkStart w:id="353" w:name="_Toc9343_WPSOffice_Level3"/>
      <w:r>
        <w:rPr>
          <w:rFonts w:hint="eastAsia" w:ascii="仿宋_GB2312" w:hAnsi="仿宋_GB2312" w:eastAsia="仿宋_GB2312" w:cs="仿宋_GB2312"/>
          <w:b w:val="0"/>
          <w:bCs/>
          <w:color w:val="000000"/>
          <w:sz w:val="32"/>
          <w:szCs w:val="32"/>
        </w:rPr>
        <w:t>年   月  日</w:t>
      </w:r>
      <w:bookmarkEnd w:id="352"/>
      <w:bookmarkEnd w:id="353"/>
    </w:p>
    <w:p w14:paraId="34A9D79A">
      <w:pPr>
        <w:widowControl/>
        <w:wordWrap/>
        <w:snapToGrid w:val="0"/>
        <w:spacing w:before="157" w:beforeLines="50" w:line="560" w:lineRule="exact"/>
        <w:outlineLvl w:val="1"/>
        <w:rPr>
          <w:rFonts w:hint="eastAsia" w:ascii="宋体" w:hAnsi="宋体"/>
          <w:b/>
          <w:color w:val="000000"/>
          <w:sz w:val="36"/>
          <w:szCs w:val="36"/>
        </w:rPr>
      </w:pPr>
      <w:r>
        <w:rPr>
          <w:rFonts w:ascii="宋体"/>
          <w:b/>
          <w:color w:val="000000"/>
          <w:sz w:val="28"/>
          <w:szCs w:val="28"/>
        </w:rPr>
        <w:br w:type="page"/>
      </w:r>
      <w:bookmarkStart w:id="354" w:name="_Toc20884"/>
      <w:bookmarkStart w:id="355" w:name="_Toc26773_WPSOffice_Level3"/>
      <w:bookmarkStart w:id="356" w:name="_Toc6416"/>
      <w:bookmarkStart w:id="357" w:name="_Toc28526"/>
      <w:bookmarkStart w:id="358" w:name="_Toc25740"/>
      <w:bookmarkStart w:id="359" w:name="_Toc653_WPSOffice_Level3"/>
      <w:r>
        <w:rPr>
          <w:rFonts w:hint="eastAsia" w:ascii="楷体_GB2312" w:hAnsi="楷体_GB2312" w:eastAsia="楷体_GB2312" w:cs="楷体_GB2312"/>
          <w:b/>
          <w:color w:val="000000"/>
          <w:sz w:val="32"/>
          <w:szCs w:val="32"/>
          <w:lang w:eastAsia="zh-CN"/>
        </w:rPr>
        <w:t>附件5：竞标人诚信承诺书</w:t>
      </w:r>
      <w:bookmarkEnd w:id="354"/>
      <w:bookmarkEnd w:id="355"/>
      <w:bookmarkEnd w:id="356"/>
      <w:bookmarkEnd w:id="357"/>
      <w:bookmarkEnd w:id="358"/>
      <w:bookmarkEnd w:id="359"/>
    </w:p>
    <w:p w14:paraId="783A3EB7">
      <w:pPr>
        <w:wordWrap/>
        <w:spacing w:before="157" w:beforeLines="50" w:line="560" w:lineRule="exact"/>
        <w:jc w:val="center"/>
        <w:outlineLvl w:val="9"/>
        <w:rPr>
          <w:rFonts w:hint="eastAsia" w:ascii="宋体" w:hAnsi="宋体"/>
          <w:b/>
          <w:color w:val="000000"/>
          <w:sz w:val="36"/>
          <w:szCs w:val="36"/>
        </w:rPr>
      </w:pPr>
      <w:bookmarkStart w:id="360" w:name="_Toc22989_WPSOffice_Level3"/>
      <w:bookmarkStart w:id="361" w:name="_Toc22537_WPSOffice_Level3"/>
      <w:r>
        <w:rPr>
          <w:rFonts w:hint="eastAsia" w:ascii="仿宋_GB2312" w:hAnsi="仿宋_GB2312" w:eastAsia="仿宋_GB2312" w:cs="仿宋_GB2312"/>
          <w:b/>
          <w:color w:val="000000"/>
          <w:sz w:val="32"/>
          <w:szCs w:val="32"/>
          <w:lang w:eastAsia="zh-CN"/>
        </w:rPr>
        <w:t>竞标人诚信承诺书</w:t>
      </w:r>
      <w:bookmarkEnd w:id="360"/>
      <w:bookmarkEnd w:id="361"/>
    </w:p>
    <w:p w14:paraId="586239CB">
      <w:pPr>
        <w:widowControl w:val="0"/>
        <w:wordWrap/>
        <w:adjustRightInd/>
        <w:snapToGrid/>
        <w:spacing w:line="560" w:lineRule="exact"/>
        <w:textAlignment w:val="auto"/>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41B77B6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为了诚实、客观、有序地参与</w:t>
      </w:r>
      <w:r>
        <w:rPr>
          <w:rFonts w:hint="eastAsia" w:ascii="仿宋_GB2312" w:hAnsi="仿宋_GB2312" w:eastAsia="仿宋_GB2312" w:cs="仿宋_GB2312"/>
          <w:b w:val="0"/>
          <w:bCs w:val="0"/>
          <w:color w:val="000000"/>
          <w:sz w:val="32"/>
          <w:szCs w:val="32"/>
          <w:lang w:val="en-US" w:eastAsia="zh-CN"/>
        </w:rPr>
        <w:t>贵单位谈判</w:t>
      </w:r>
      <w:r>
        <w:rPr>
          <w:rFonts w:hint="eastAsia" w:ascii="仿宋_GB2312" w:hAnsi="仿宋_GB2312" w:eastAsia="仿宋_GB2312" w:cs="仿宋_GB2312"/>
          <w:b w:val="0"/>
          <w:bCs w:val="0"/>
          <w:color w:val="000000"/>
          <w:sz w:val="32"/>
          <w:szCs w:val="32"/>
        </w:rPr>
        <w:t>活动，愿就以下内容作出承诺：</w:t>
      </w:r>
    </w:p>
    <w:p w14:paraId="50E3DF0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、自觉遵守各项法律、法规、规章、制度以及社会公德，维护廉洁环境，与同场竞争的</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平等参加采购活动。</w:t>
      </w:r>
    </w:p>
    <w:p w14:paraId="2CF9D19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、参加</w:t>
      </w:r>
      <w:r>
        <w:rPr>
          <w:rFonts w:hint="eastAsia" w:ascii="仿宋_GB2312" w:hAnsi="仿宋_GB2312" w:eastAsia="仿宋_GB2312" w:cs="仿宋_GB2312"/>
          <w:b w:val="0"/>
          <w:bCs w:val="0"/>
          <w:color w:val="000000"/>
          <w:sz w:val="32"/>
          <w:szCs w:val="32"/>
          <w:lang w:val="en-US" w:eastAsia="zh-CN"/>
        </w:rPr>
        <w:t>贵单位</w:t>
      </w:r>
      <w:r>
        <w:rPr>
          <w:rFonts w:hint="eastAsia" w:ascii="仿宋_GB2312" w:hAnsi="仿宋_GB2312" w:eastAsia="仿宋_GB2312" w:cs="仿宋_GB2312"/>
          <w:b w:val="0"/>
          <w:bCs w:val="0"/>
          <w:color w:val="000000"/>
          <w:sz w:val="32"/>
          <w:szCs w:val="32"/>
        </w:rPr>
        <w:t>组织的</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000000"/>
          <w:sz w:val="32"/>
          <w:szCs w:val="32"/>
          <w:lang w:eastAsia="zh-CN"/>
        </w:rPr>
        <w:t>响应</w:t>
      </w:r>
      <w:r>
        <w:rPr>
          <w:rFonts w:hint="eastAsia" w:ascii="仿宋_GB2312" w:hAnsi="仿宋_GB2312" w:eastAsia="仿宋_GB2312" w:cs="仿宋_GB2312"/>
          <w:b w:val="0"/>
          <w:bCs w:val="0"/>
          <w:color w:val="000000"/>
          <w:sz w:val="32"/>
          <w:szCs w:val="32"/>
        </w:rPr>
        <w:t>，不虚列业绩。</w:t>
      </w:r>
    </w:p>
    <w:p w14:paraId="4ED474F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、尊重参与</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活动各相关方的合法行为，接受</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活动依法形成的意见、结果。</w:t>
      </w:r>
    </w:p>
    <w:p w14:paraId="1F852AD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、依法参加</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活动，不围标、串标，维护市场秩序，不提供“三无”产品、以次充好。</w:t>
      </w:r>
    </w:p>
    <w:p w14:paraId="14D88A9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、积极推动</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活动健康开展，对</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活动有疑问、异议时，按法律规定的程序实名（加盖单位</w:t>
      </w:r>
      <w:r>
        <w:rPr>
          <w:rFonts w:hint="eastAsia" w:ascii="仿宋_GB2312" w:hAnsi="仿宋_GB2312" w:eastAsia="仿宋_GB2312" w:cs="仿宋_GB2312"/>
          <w:b w:val="0"/>
          <w:bCs w:val="0"/>
          <w:color w:val="000000"/>
          <w:sz w:val="32"/>
          <w:szCs w:val="32"/>
          <w:lang w:eastAsia="zh-CN"/>
        </w:rPr>
        <w:t>公</w:t>
      </w:r>
      <w:r>
        <w:rPr>
          <w:rFonts w:hint="eastAsia" w:ascii="仿宋_GB2312" w:hAnsi="仿宋_GB2312" w:eastAsia="仿宋_GB2312" w:cs="仿宋_GB2312"/>
          <w:b w:val="0"/>
          <w:bCs w:val="0"/>
          <w:color w:val="000000"/>
          <w:sz w:val="32"/>
          <w:szCs w:val="32"/>
        </w:rPr>
        <w:t>章和法定代表人签名）反映情况，不恶意中伤、无事生非，以和谐、平等的心态参加采购活动。</w:t>
      </w:r>
    </w:p>
    <w:p w14:paraId="3E08620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、认真履行成交</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应承担的责任和义务，全面执行合同规定的各项内容，保质保量地按时提供</w:t>
      </w:r>
      <w:r>
        <w:rPr>
          <w:rFonts w:hint="eastAsia" w:ascii="仿宋_GB2312" w:hAnsi="仿宋_GB2312" w:eastAsia="仿宋_GB2312" w:cs="仿宋_GB2312"/>
          <w:b w:val="0"/>
          <w:bCs w:val="0"/>
          <w:color w:val="000000"/>
          <w:sz w:val="32"/>
          <w:szCs w:val="32"/>
          <w:lang w:val="en-US" w:eastAsia="zh-CN"/>
        </w:rPr>
        <w:t>服务</w:t>
      </w:r>
      <w:r>
        <w:rPr>
          <w:rFonts w:hint="eastAsia" w:ascii="仿宋_GB2312" w:hAnsi="仿宋_GB2312" w:eastAsia="仿宋_GB2312" w:cs="仿宋_GB2312"/>
          <w:b w:val="0"/>
          <w:bCs w:val="0"/>
          <w:color w:val="000000"/>
          <w:sz w:val="32"/>
          <w:szCs w:val="32"/>
        </w:rPr>
        <w:t>。</w:t>
      </w:r>
    </w:p>
    <w:p w14:paraId="6AFB84D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若本企业（单位）发生有悖于上述承诺的行为，愿意接受《中华人民共和国</w:t>
      </w:r>
      <w:r>
        <w:rPr>
          <w:rFonts w:hint="eastAsia" w:ascii="仿宋_GB2312" w:hAnsi="仿宋_GB2312" w:eastAsia="仿宋_GB2312" w:cs="仿宋_GB2312"/>
          <w:b w:val="0"/>
          <w:bCs w:val="0"/>
          <w:color w:val="000000"/>
          <w:sz w:val="32"/>
          <w:szCs w:val="32"/>
          <w:lang w:val="en-US" w:eastAsia="zh-CN"/>
        </w:rPr>
        <w:t>招投标</w:t>
      </w:r>
      <w:r>
        <w:rPr>
          <w:rFonts w:hint="eastAsia" w:ascii="仿宋_GB2312" w:hAnsi="仿宋_GB2312" w:eastAsia="仿宋_GB2312" w:cs="仿宋_GB2312"/>
          <w:b w:val="0"/>
          <w:bCs w:val="0"/>
          <w:color w:val="000000"/>
          <w:sz w:val="32"/>
          <w:szCs w:val="32"/>
        </w:rPr>
        <w:t>法》和</w:t>
      </w:r>
      <w:r>
        <w:rPr>
          <w:rFonts w:hint="eastAsia" w:ascii="仿宋_GB2312" w:hAnsi="仿宋_GB2312" w:eastAsia="仿宋_GB2312" w:cs="仿宋_GB2312"/>
          <w:b w:val="0"/>
          <w:bCs w:val="0"/>
          <w:color w:val="000000"/>
          <w:sz w:val="32"/>
          <w:szCs w:val="32"/>
          <w:lang w:val="en-US" w:eastAsia="zh-CN"/>
        </w:rPr>
        <w:t>相关法律法规</w:t>
      </w:r>
      <w:r>
        <w:rPr>
          <w:rFonts w:hint="eastAsia" w:ascii="仿宋_GB2312" w:hAnsi="仿宋_GB2312" w:eastAsia="仿宋_GB2312" w:cs="仿宋_GB2312"/>
          <w:b w:val="0"/>
          <w:bCs w:val="0"/>
          <w:color w:val="000000"/>
          <w:sz w:val="32"/>
          <w:szCs w:val="32"/>
        </w:rPr>
        <w:t>中对</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的相关处理。</w:t>
      </w:r>
    </w:p>
    <w:p w14:paraId="5A4B8F6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本承诺是</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项目谈判响应文件的组成部分。</w:t>
      </w:r>
    </w:p>
    <w:p w14:paraId="0874B619">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62" w:name="_Toc23784_WPSOffice_Level3"/>
      <w:bookmarkStart w:id="363" w:name="_Toc2830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62"/>
      <w:bookmarkEnd w:id="363"/>
    </w:p>
    <w:p w14:paraId="499DC34D">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64" w:name="_Toc13573_WPSOffice_Level3"/>
      <w:bookmarkStart w:id="365" w:name="_Toc2502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64"/>
      <w:bookmarkEnd w:id="365"/>
    </w:p>
    <w:p w14:paraId="3DF7D954">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66" w:name="_Toc5564_WPSOffice_Level3"/>
      <w:r>
        <w:rPr>
          <w:rFonts w:hint="eastAsia" w:ascii="仿宋_GB2312" w:hAnsi="仿宋_GB2312" w:eastAsia="仿宋_GB2312" w:cs="仿宋_GB2312"/>
          <w:b w:val="0"/>
          <w:bCs/>
          <w:color w:val="000000"/>
          <w:sz w:val="32"/>
          <w:szCs w:val="32"/>
          <w:lang w:val="en-US" w:eastAsia="zh-CN"/>
        </w:rPr>
        <w:t xml:space="preserve">                      </w:t>
      </w:r>
      <w:bookmarkStart w:id="367" w:name="_Toc12645_WPSOffice_Level3"/>
      <w:r>
        <w:rPr>
          <w:rFonts w:hint="eastAsia" w:ascii="仿宋_GB2312" w:hAnsi="仿宋_GB2312" w:eastAsia="仿宋_GB2312" w:cs="仿宋_GB2312"/>
          <w:b w:val="0"/>
          <w:bCs/>
          <w:color w:val="000000"/>
          <w:sz w:val="32"/>
          <w:szCs w:val="32"/>
        </w:rPr>
        <w:t>年   月  日</w:t>
      </w:r>
      <w:bookmarkEnd w:id="366"/>
      <w:bookmarkEnd w:id="367"/>
    </w:p>
    <w:p w14:paraId="4568C380">
      <w:pPr>
        <w:wordWrap/>
        <w:spacing w:before="157" w:beforeLines="50" w:line="560" w:lineRule="exact"/>
        <w:rPr>
          <w:rFonts w:hint="eastAsia" w:ascii="宋体" w:hAnsi="宋体"/>
          <w:b/>
          <w:color w:val="000000"/>
          <w:sz w:val="24"/>
        </w:rPr>
      </w:pPr>
    </w:p>
    <w:p w14:paraId="3DF86B04">
      <w:pPr>
        <w:widowControl/>
        <w:wordWrap/>
        <w:snapToGrid w:val="0"/>
        <w:spacing w:before="157" w:beforeLines="50" w:line="560" w:lineRule="exact"/>
        <w:outlineLvl w:val="9"/>
        <w:rPr>
          <w:rFonts w:hint="eastAsia" w:ascii="宋体"/>
          <w:b/>
          <w:color w:val="000000"/>
          <w:sz w:val="28"/>
          <w:szCs w:val="28"/>
        </w:rPr>
      </w:pPr>
    </w:p>
    <w:p w14:paraId="6C7115BC">
      <w:pPr>
        <w:widowControl/>
        <w:wordWrap/>
        <w:snapToGrid w:val="0"/>
        <w:spacing w:before="157" w:beforeLines="50" w:line="560" w:lineRule="exact"/>
        <w:outlineLvl w:val="9"/>
        <w:rPr>
          <w:rFonts w:hint="eastAsia" w:ascii="宋体"/>
          <w:b/>
          <w:color w:val="000000"/>
          <w:sz w:val="28"/>
          <w:szCs w:val="28"/>
        </w:rPr>
      </w:pPr>
    </w:p>
    <w:p w14:paraId="6862AAA0">
      <w:pPr>
        <w:widowControl/>
        <w:wordWrap/>
        <w:snapToGrid w:val="0"/>
        <w:spacing w:before="157" w:beforeLines="50" w:line="560" w:lineRule="exact"/>
        <w:outlineLvl w:val="9"/>
        <w:rPr>
          <w:rFonts w:hint="eastAsia" w:ascii="宋体"/>
          <w:b/>
          <w:color w:val="000000"/>
          <w:sz w:val="28"/>
          <w:szCs w:val="28"/>
        </w:rPr>
      </w:pPr>
    </w:p>
    <w:p w14:paraId="282C0277">
      <w:pPr>
        <w:widowControl/>
        <w:wordWrap/>
        <w:snapToGrid w:val="0"/>
        <w:spacing w:before="157" w:beforeLines="50" w:line="560" w:lineRule="exact"/>
        <w:outlineLvl w:val="9"/>
        <w:rPr>
          <w:rFonts w:hint="eastAsia" w:ascii="宋体"/>
          <w:b/>
          <w:color w:val="000000"/>
          <w:sz w:val="28"/>
          <w:szCs w:val="28"/>
        </w:rPr>
      </w:pPr>
    </w:p>
    <w:p w14:paraId="1E4ECD5E">
      <w:pPr>
        <w:widowControl/>
        <w:wordWrap/>
        <w:snapToGrid w:val="0"/>
        <w:spacing w:before="157" w:beforeLines="50" w:line="560" w:lineRule="exact"/>
        <w:outlineLvl w:val="9"/>
        <w:rPr>
          <w:rFonts w:hint="eastAsia" w:ascii="宋体"/>
          <w:b/>
          <w:color w:val="000000"/>
          <w:sz w:val="28"/>
          <w:szCs w:val="28"/>
        </w:rPr>
      </w:pPr>
    </w:p>
    <w:p w14:paraId="617391BE">
      <w:pPr>
        <w:widowControl/>
        <w:wordWrap/>
        <w:snapToGrid w:val="0"/>
        <w:spacing w:before="157" w:beforeLines="50" w:line="560" w:lineRule="exact"/>
        <w:outlineLvl w:val="9"/>
        <w:rPr>
          <w:rFonts w:hint="eastAsia" w:ascii="宋体"/>
          <w:b/>
          <w:color w:val="000000"/>
          <w:sz w:val="28"/>
          <w:szCs w:val="28"/>
        </w:rPr>
      </w:pPr>
    </w:p>
    <w:p w14:paraId="7F1B9E03">
      <w:pPr>
        <w:widowControl/>
        <w:wordWrap/>
        <w:snapToGrid w:val="0"/>
        <w:spacing w:before="157" w:beforeLines="50" w:line="560" w:lineRule="exact"/>
        <w:outlineLvl w:val="9"/>
        <w:rPr>
          <w:rFonts w:hint="eastAsia" w:ascii="宋体"/>
          <w:b/>
          <w:color w:val="000000"/>
          <w:sz w:val="28"/>
          <w:szCs w:val="28"/>
        </w:rPr>
      </w:pPr>
    </w:p>
    <w:p w14:paraId="74F19BDD">
      <w:pPr>
        <w:widowControl/>
        <w:wordWrap/>
        <w:snapToGrid w:val="0"/>
        <w:spacing w:before="157" w:beforeLines="50" w:line="560" w:lineRule="exact"/>
        <w:outlineLvl w:val="9"/>
        <w:rPr>
          <w:rFonts w:hint="eastAsia" w:ascii="宋体"/>
          <w:b/>
          <w:color w:val="000000"/>
          <w:sz w:val="28"/>
          <w:szCs w:val="28"/>
        </w:rPr>
      </w:pPr>
    </w:p>
    <w:p w14:paraId="75621E0C">
      <w:pPr>
        <w:widowControl/>
        <w:wordWrap/>
        <w:snapToGrid w:val="0"/>
        <w:spacing w:before="157" w:beforeLines="50" w:line="560" w:lineRule="exact"/>
        <w:outlineLvl w:val="9"/>
        <w:rPr>
          <w:rFonts w:hint="eastAsia" w:ascii="宋体"/>
          <w:b/>
          <w:color w:val="000000"/>
          <w:sz w:val="28"/>
          <w:szCs w:val="28"/>
        </w:rPr>
      </w:pPr>
    </w:p>
    <w:p w14:paraId="48ECE3C5">
      <w:pPr>
        <w:widowControl/>
        <w:wordWrap/>
        <w:snapToGrid w:val="0"/>
        <w:spacing w:before="157" w:beforeLines="50" w:line="560" w:lineRule="exact"/>
        <w:outlineLvl w:val="9"/>
        <w:rPr>
          <w:rFonts w:hint="eastAsia" w:ascii="宋体"/>
          <w:b/>
          <w:color w:val="000000"/>
          <w:sz w:val="28"/>
          <w:szCs w:val="28"/>
        </w:rPr>
      </w:pPr>
    </w:p>
    <w:p w14:paraId="3D658B34">
      <w:pPr>
        <w:widowControl/>
        <w:wordWrap/>
        <w:snapToGrid w:val="0"/>
        <w:spacing w:before="157" w:beforeLines="50" w:line="560" w:lineRule="exact"/>
        <w:outlineLvl w:val="9"/>
        <w:rPr>
          <w:rFonts w:hint="eastAsia" w:ascii="宋体"/>
          <w:b/>
          <w:color w:val="000000"/>
          <w:sz w:val="28"/>
          <w:szCs w:val="28"/>
        </w:rPr>
      </w:pPr>
    </w:p>
    <w:p w14:paraId="7119FFBD">
      <w:pPr>
        <w:widowControl/>
        <w:wordWrap/>
        <w:snapToGrid w:val="0"/>
        <w:spacing w:before="157" w:beforeLines="50" w:line="560" w:lineRule="exact"/>
        <w:outlineLvl w:val="9"/>
        <w:rPr>
          <w:rFonts w:hint="eastAsia" w:ascii="宋体"/>
          <w:b/>
          <w:color w:val="000000"/>
          <w:sz w:val="28"/>
          <w:szCs w:val="28"/>
        </w:rPr>
      </w:pPr>
    </w:p>
    <w:p w14:paraId="6BD10CB0">
      <w:pPr>
        <w:widowControl/>
        <w:wordWrap/>
        <w:snapToGrid w:val="0"/>
        <w:spacing w:before="157" w:beforeLines="50" w:line="560" w:lineRule="exact"/>
        <w:outlineLvl w:val="1"/>
        <w:rPr>
          <w:rFonts w:hint="eastAsia" w:ascii="宋体" w:hAnsi="宋体"/>
          <w:b/>
          <w:color w:val="000000"/>
          <w:sz w:val="36"/>
          <w:szCs w:val="36"/>
        </w:rPr>
      </w:pPr>
      <w:bookmarkStart w:id="368" w:name="_Toc16847"/>
      <w:bookmarkStart w:id="369" w:name="_Toc6033"/>
      <w:bookmarkStart w:id="370" w:name="_Toc19930_WPSOffice_Level3"/>
      <w:bookmarkStart w:id="371" w:name="_Toc8368_WPSOffice_Level3"/>
      <w:bookmarkStart w:id="372" w:name="_Toc29869"/>
      <w:bookmarkStart w:id="373" w:name="_Toc25242"/>
      <w:r>
        <w:rPr>
          <w:rFonts w:hint="eastAsia" w:ascii="楷体_GB2312" w:hAnsi="楷体_GB2312" w:eastAsia="楷体_GB2312" w:cs="楷体_GB2312"/>
          <w:b/>
          <w:color w:val="000000"/>
          <w:sz w:val="32"/>
          <w:szCs w:val="32"/>
          <w:lang w:eastAsia="zh-CN"/>
        </w:rPr>
        <w:t>附件6：竞标人资格证明文件</w:t>
      </w:r>
      <w:bookmarkEnd w:id="368"/>
      <w:bookmarkEnd w:id="369"/>
      <w:bookmarkEnd w:id="370"/>
      <w:bookmarkEnd w:id="371"/>
      <w:bookmarkEnd w:id="372"/>
      <w:bookmarkEnd w:id="373"/>
    </w:p>
    <w:p w14:paraId="67BA495D">
      <w:pPr>
        <w:wordWrap/>
        <w:spacing w:before="157" w:beforeLines="50" w:line="560" w:lineRule="exact"/>
        <w:jc w:val="center"/>
        <w:outlineLvl w:val="9"/>
        <w:rPr>
          <w:rFonts w:hint="eastAsia" w:ascii="宋体" w:hAnsi="宋体"/>
          <w:color w:val="000000"/>
          <w:sz w:val="21"/>
          <w:szCs w:val="21"/>
        </w:rPr>
      </w:pPr>
      <w:bookmarkStart w:id="374" w:name="_Toc23997_WPSOffice_Level3"/>
      <w:bookmarkStart w:id="375" w:name="_Toc9360_WPSOffice_Level3"/>
      <w:r>
        <w:rPr>
          <w:rFonts w:hint="eastAsia" w:ascii="仿宋_GB2312" w:hAnsi="仿宋_GB2312" w:eastAsia="仿宋_GB2312" w:cs="仿宋_GB2312"/>
          <w:b/>
          <w:color w:val="000000"/>
          <w:sz w:val="32"/>
          <w:szCs w:val="32"/>
          <w:lang w:eastAsia="zh-CN"/>
        </w:rPr>
        <w:t>竞标人资格证明文件</w:t>
      </w:r>
      <w:bookmarkEnd w:id="374"/>
      <w:bookmarkEnd w:id="375"/>
    </w:p>
    <w:p w14:paraId="0BF59CF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2DE6277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B685C2A">
      <w:pPr>
        <w:widowControl w:val="0"/>
        <w:wordWrap/>
        <w:adjustRightInd/>
        <w:snapToGrid/>
        <w:spacing w:line="560" w:lineRule="exact"/>
        <w:ind w:firstLine="640" w:firstLineChars="200"/>
        <w:textAlignment w:val="auto"/>
        <w:outlineLvl w:val="2"/>
        <w:rPr>
          <w:rFonts w:hint="eastAsia" w:ascii="仿宋_GB2312" w:hAnsi="仿宋_GB2312" w:eastAsia="仿宋_GB2312" w:cs="仿宋_GB2312"/>
          <w:color w:val="000000"/>
          <w:sz w:val="32"/>
          <w:szCs w:val="32"/>
        </w:rPr>
      </w:pPr>
      <w:bookmarkStart w:id="376" w:name="_Toc3065"/>
      <w:r>
        <w:rPr>
          <w:rFonts w:hint="eastAsia" w:ascii="仿宋_GB2312" w:hAnsi="仿宋_GB2312" w:eastAsia="仿宋_GB2312" w:cs="仿宋_GB2312"/>
          <w:color w:val="000000"/>
          <w:sz w:val="32"/>
          <w:szCs w:val="32"/>
        </w:rPr>
        <w:t>2、根据项目内容，提供</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的相关资质证书、许可证等。</w:t>
      </w:r>
      <w:bookmarkEnd w:id="376"/>
    </w:p>
    <w:p w14:paraId="4DBA461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14:paraId="64B6E206">
      <w:pPr>
        <w:widowControl/>
        <w:wordWrap/>
        <w:snapToGrid w:val="0"/>
        <w:spacing w:before="157" w:beforeLines="50" w:line="560" w:lineRule="exact"/>
        <w:outlineLvl w:val="9"/>
        <w:rPr>
          <w:rFonts w:hint="eastAsia" w:ascii="宋体"/>
          <w:b/>
          <w:color w:val="000000"/>
          <w:sz w:val="28"/>
          <w:szCs w:val="28"/>
        </w:rPr>
      </w:pPr>
    </w:p>
    <w:p w14:paraId="53AEA0C8">
      <w:pPr>
        <w:widowControl/>
        <w:wordWrap/>
        <w:snapToGrid w:val="0"/>
        <w:spacing w:before="157" w:beforeLines="50" w:line="560" w:lineRule="exact"/>
        <w:outlineLvl w:val="9"/>
        <w:rPr>
          <w:rFonts w:hint="eastAsia" w:ascii="宋体"/>
          <w:b/>
          <w:color w:val="000000"/>
          <w:sz w:val="28"/>
          <w:szCs w:val="28"/>
        </w:rPr>
      </w:pPr>
    </w:p>
    <w:p w14:paraId="334A8A0E">
      <w:pPr>
        <w:widowControl/>
        <w:wordWrap/>
        <w:snapToGrid w:val="0"/>
        <w:spacing w:before="157" w:beforeLines="50" w:line="560" w:lineRule="exact"/>
        <w:outlineLvl w:val="9"/>
        <w:rPr>
          <w:rFonts w:hint="eastAsia" w:ascii="宋体"/>
          <w:b/>
          <w:color w:val="000000"/>
          <w:sz w:val="28"/>
          <w:szCs w:val="28"/>
        </w:rPr>
      </w:pPr>
    </w:p>
    <w:p w14:paraId="2A7BB416">
      <w:pPr>
        <w:widowControl/>
        <w:wordWrap/>
        <w:snapToGrid w:val="0"/>
        <w:spacing w:before="157" w:beforeLines="50" w:line="560" w:lineRule="exact"/>
        <w:outlineLvl w:val="3"/>
        <w:rPr>
          <w:rFonts w:hint="default" w:ascii="宋体" w:hAnsi="宋体"/>
          <w:b/>
          <w:color w:val="000000"/>
          <w:sz w:val="36"/>
          <w:szCs w:val="36"/>
          <w:lang w:val="en-US"/>
        </w:rPr>
      </w:pPr>
      <w:bookmarkStart w:id="377" w:name="_Toc6573"/>
      <w:bookmarkStart w:id="378" w:name="_Toc12925"/>
      <w:bookmarkStart w:id="379" w:name="_Toc7499_WPSOffice_Level3"/>
      <w:bookmarkStart w:id="380" w:name="_Toc5898"/>
      <w:bookmarkStart w:id="381" w:name="_Toc29082_WPSOffice_Level3"/>
      <w:r>
        <w:rPr>
          <w:rFonts w:hint="eastAsia" w:ascii="楷体_GB2312" w:hAnsi="楷体_GB2312" w:eastAsia="楷体_GB2312" w:cs="楷体_GB2312"/>
          <w:b/>
          <w:color w:val="000000"/>
          <w:sz w:val="32"/>
          <w:szCs w:val="32"/>
          <w:lang w:eastAsia="zh-CN"/>
        </w:rPr>
        <w:t>附件7：财务</w:t>
      </w:r>
      <w:bookmarkEnd w:id="377"/>
      <w:bookmarkEnd w:id="378"/>
      <w:bookmarkEnd w:id="379"/>
      <w:bookmarkEnd w:id="380"/>
      <w:bookmarkEnd w:id="381"/>
      <w:r>
        <w:rPr>
          <w:rFonts w:hint="eastAsia" w:ascii="楷体_GB2312" w:hAnsi="楷体_GB2312" w:eastAsia="楷体_GB2312" w:cs="楷体_GB2312"/>
          <w:b/>
          <w:color w:val="000000"/>
          <w:sz w:val="32"/>
          <w:szCs w:val="32"/>
          <w:lang w:val="en-US" w:eastAsia="zh-CN"/>
        </w:rPr>
        <w:t>审计报告</w:t>
      </w:r>
    </w:p>
    <w:p w14:paraId="59F8B065">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竞标人是法人的，提供近三年度（2020年-2022年度）经第三方审计的财务状况报告（扫描或复印件应全面、完整、清晰），包括资产负债表、现金流量表、利润表和财务（会计）报表附注，并提供第三方机构的营业执照、执业证书，新成立的公司提供基本存款账户银行近三个月内出具的资信证明（同时提供基本存款账户开户许可证或基本存款账户信息）。</w:t>
      </w:r>
      <w:r>
        <w:rPr>
          <w:rFonts w:hint="eastAsia" w:ascii="仿宋_GB2312" w:hAnsi="仿宋_GB2312" w:eastAsia="仿宋_GB2312" w:cs="仿宋_GB2312"/>
          <w:sz w:val="32"/>
          <w:szCs w:val="32"/>
        </w:rPr>
        <w:t>。</w:t>
      </w:r>
    </w:p>
    <w:p w14:paraId="159BE028">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近三个月</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依法缴纳税收和社会保障资金记录的证明材料</w:t>
      </w:r>
      <w:r>
        <w:rPr>
          <w:rFonts w:hint="eastAsia" w:ascii="仿宋_GB2312" w:hAnsi="仿宋_GB2312" w:eastAsia="仿宋_GB2312" w:cs="仿宋_GB2312"/>
          <w:color w:val="000000"/>
          <w:sz w:val="32"/>
          <w:szCs w:val="32"/>
          <w:lang w:eastAsia="zh-CN"/>
        </w:rPr>
        <w:t>，或相关行政机关出具无欠缴应纳税款或社会保障资金的证明材料</w:t>
      </w:r>
      <w:r>
        <w:rPr>
          <w:rFonts w:hint="eastAsia" w:ascii="仿宋_GB2312" w:hAnsi="仿宋_GB2312" w:eastAsia="仿宋_GB2312" w:cs="仿宋_GB2312"/>
          <w:color w:val="000000"/>
          <w:sz w:val="32"/>
          <w:szCs w:val="32"/>
        </w:rPr>
        <w:t>。依法免税或不需要缴纳社会保障资金的</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，应提供相应文件证明其依法免税或不需要缴纳社会保障资金。</w:t>
      </w:r>
    </w:p>
    <w:p w14:paraId="299761F4">
      <w:pPr>
        <w:widowControl/>
        <w:wordWrap/>
        <w:adjustRightInd/>
        <w:snapToGrid w:val="0"/>
        <w:spacing w:line="560" w:lineRule="exact"/>
        <w:textAlignment w:val="auto"/>
        <w:outlineLvl w:val="9"/>
        <w:rPr>
          <w:rFonts w:hint="eastAsia" w:ascii="仿宋_GB2312" w:hAnsi="仿宋_GB2312" w:eastAsia="仿宋_GB2312" w:cs="仿宋_GB2312"/>
          <w:color w:val="000000"/>
          <w:sz w:val="32"/>
          <w:szCs w:val="32"/>
        </w:rPr>
      </w:pPr>
    </w:p>
    <w:p w14:paraId="33D7AE78">
      <w:pPr>
        <w:widowControl/>
        <w:wordWrap/>
        <w:snapToGrid w:val="0"/>
        <w:spacing w:before="157" w:beforeLines="50" w:line="560" w:lineRule="exact"/>
        <w:outlineLvl w:val="9"/>
        <w:rPr>
          <w:rFonts w:hint="eastAsia" w:ascii="宋体" w:hAnsi="宋体"/>
          <w:color w:val="000000"/>
          <w:sz w:val="21"/>
          <w:szCs w:val="21"/>
        </w:rPr>
      </w:pPr>
    </w:p>
    <w:p w14:paraId="42751857">
      <w:pPr>
        <w:tabs>
          <w:tab w:val="left" w:pos="168"/>
        </w:tabs>
        <w:wordWrap/>
        <w:adjustRightInd w:val="0"/>
        <w:spacing w:before="157" w:beforeLines="50" w:line="560" w:lineRule="exact"/>
        <w:ind w:firstLine="480" w:firstLineChars="200"/>
        <w:textAlignment w:val="baseline"/>
        <w:rPr>
          <w:rFonts w:hint="eastAsia" w:ascii="宋体" w:hAnsi="宋体"/>
          <w:color w:val="000000"/>
          <w:sz w:val="24"/>
        </w:rPr>
      </w:pPr>
    </w:p>
    <w:p w14:paraId="0A68C450">
      <w:pPr>
        <w:widowControl/>
        <w:wordWrap/>
        <w:snapToGrid w:val="0"/>
        <w:spacing w:before="157" w:beforeLines="50" w:line="560" w:lineRule="exact"/>
        <w:outlineLvl w:val="9"/>
        <w:rPr>
          <w:rFonts w:hint="eastAsia" w:ascii="宋体" w:hAnsi="宋体"/>
          <w:b/>
          <w:color w:val="000000"/>
          <w:sz w:val="24"/>
        </w:rPr>
      </w:pPr>
    </w:p>
    <w:p w14:paraId="45464D7E">
      <w:pPr>
        <w:wordWrap/>
        <w:spacing w:before="157" w:beforeLines="50" w:line="560" w:lineRule="exact"/>
        <w:rPr>
          <w:rFonts w:hint="eastAsia" w:ascii="宋体" w:hAnsi="宋体"/>
          <w:b/>
          <w:bCs/>
          <w:color w:val="000000"/>
          <w:sz w:val="28"/>
          <w:szCs w:val="28"/>
        </w:rPr>
      </w:pPr>
    </w:p>
    <w:p w14:paraId="07FAB9B6">
      <w:pPr>
        <w:wordWrap/>
        <w:spacing w:before="157" w:beforeLines="50" w:line="560" w:lineRule="exact"/>
        <w:rPr>
          <w:rFonts w:hint="eastAsia" w:ascii="宋体" w:hAnsi="宋体"/>
          <w:b/>
          <w:bCs/>
          <w:color w:val="000000"/>
          <w:sz w:val="28"/>
          <w:szCs w:val="28"/>
        </w:rPr>
      </w:pPr>
    </w:p>
    <w:p w14:paraId="007868E1">
      <w:pPr>
        <w:wordWrap/>
        <w:spacing w:before="157" w:beforeLines="50" w:line="560" w:lineRule="exact"/>
        <w:rPr>
          <w:rFonts w:hint="eastAsia" w:ascii="宋体" w:hAnsi="宋体"/>
          <w:b/>
          <w:bCs/>
          <w:color w:val="000000"/>
          <w:sz w:val="28"/>
          <w:szCs w:val="28"/>
        </w:rPr>
      </w:pPr>
    </w:p>
    <w:p w14:paraId="7065712E">
      <w:pPr>
        <w:wordWrap/>
        <w:spacing w:before="157" w:beforeLines="50" w:line="560" w:lineRule="exact"/>
        <w:rPr>
          <w:rFonts w:hint="eastAsia" w:ascii="宋体" w:hAnsi="宋体"/>
          <w:b/>
          <w:bCs/>
          <w:color w:val="000000"/>
          <w:sz w:val="28"/>
          <w:szCs w:val="28"/>
        </w:rPr>
      </w:pPr>
    </w:p>
    <w:p w14:paraId="48F09314">
      <w:pPr>
        <w:wordWrap/>
        <w:spacing w:before="157" w:beforeLines="50" w:line="560" w:lineRule="exact"/>
        <w:rPr>
          <w:rFonts w:hint="eastAsia" w:ascii="宋体" w:hAnsi="宋体"/>
          <w:b/>
          <w:bCs/>
          <w:color w:val="000000"/>
          <w:sz w:val="28"/>
          <w:szCs w:val="28"/>
        </w:rPr>
      </w:pPr>
    </w:p>
    <w:p w14:paraId="2BBC8D1B">
      <w:pPr>
        <w:wordWrap/>
        <w:spacing w:before="157" w:beforeLines="50" w:line="560" w:lineRule="exact"/>
        <w:rPr>
          <w:rFonts w:hint="eastAsia" w:ascii="宋体" w:hAnsi="宋体"/>
          <w:b/>
          <w:bCs/>
          <w:color w:val="000000"/>
          <w:sz w:val="28"/>
          <w:szCs w:val="28"/>
        </w:rPr>
      </w:pPr>
    </w:p>
    <w:p w14:paraId="36819802">
      <w:pPr>
        <w:wordWrap/>
        <w:spacing w:before="157" w:beforeLines="50" w:line="560" w:lineRule="exact"/>
        <w:rPr>
          <w:rFonts w:hint="eastAsia" w:ascii="宋体" w:hAnsi="宋体"/>
          <w:b/>
          <w:bCs/>
          <w:color w:val="000000"/>
          <w:sz w:val="28"/>
          <w:szCs w:val="28"/>
        </w:rPr>
      </w:pPr>
    </w:p>
    <w:p w14:paraId="76722D22">
      <w:pPr>
        <w:wordWrap/>
        <w:spacing w:before="157" w:beforeLines="50" w:line="560" w:lineRule="exact"/>
        <w:outlineLvl w:val="9"/>
        <w:rPr>
          <w:rFonts w:hint="eastAsia" w:ascii="宋体" w:hAnsi="宋体"/>
          <w:b/>
          <w:bCs/>
          <w:color w:val="000000"/>
          <w:sz w:val="28"/>
          <w:szCs w:val="28"/>
        </w:rPr>
      </w:pPr>
    </w:p>
    <w:p w14:paraId="6EAF13A9">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382" w:name="_Toc21984"/>
      <w:bookmarkStart w:id="383" w:name="_Toc27568"/>
      <w:bookmarkStart w:id="384" w:name="_Toc16098"/>
      <w:bookmarkStart w:id="385" w:name="_Toc17387_WPSOffice_Level3"/>
      <w:bookmarkStart w:id="386" w:name="_Toc13266"/>
      <w:bookmarkStart w:id="387" w:name="_Toc22959_WPSOffice_Level3"/>
      <w:r>
        <w:rPr>
          <w:rFonts w:hint="eastAsia" w:ascii="楷体_GB2312" w:hAnsi="楷体_GB2312" w:eastAsia="楷体_GB2312" w:cs="楷体_GB2312"/>
          <w:b/>
          <w:color w:val="000000"/>
          <w:sz w:val="32"/>
          <w:szCs w:val="32"/>
          <w:lang w:eastAsia="zh-CN"/>
        </w:rPr>
        <w:t>附件8：</w:t>
      </w:r>
      <w:bookmarkEnd w:id="382"/>
      <w:r>
        <w:rPr>
          <w:rFonts w:hint="eastAsia" w:ascii="楷体_GB2312" w:hAnsi="楷体_GB2312" w:eastAsia="楷体_GB2312" w:cs="楷体_GB2312"/>
          <w:b/>
          <w:color w:val="000000"/>
          <w:sz w:val="32"/>
          <w:szCs w:val="32"/>
          <w:lang w:eastAsia="zh-CN"/>
        </w:rPr>
        <w:t>无重大违法记录声明</w:t>
      </w:r>
      <w:bookmarkEnd w:id="383"/>
      <w:bookmarkEnd w:id="384"/>
      <w:bookmarkEnd w:id="385"/>
    </w:p>
    <w:p w14:paraId="5F547808">
      <w:pPr>
        <w:wordWrap/>
        <w:spacing w:before="157" w:beforeLines="50" w:line="560" w:lineRule="exact"/>
        <w:jc w:val="center"/>
        <w:outlineLvl w:val="9"/>
        <w:rPr>
          <w:rFonts w:hint="eastAsia" w:ascii="宋体" w:hAnsi="宋体" w:cs="宋体"/>
          <w:b/>
          <w:bCs/>
          <w:color w:val="000000"/>
          <w:sz w:val="28"/>
          <w:szCs w:val="28"/>
        </w:rPr>
      </w:pPr>
      <w:bookmarkStart w:id="388" w:name="_Toc25610_WPSOffice_Level3"/>
      <w:r>
        <w:rPr>
          <w:rFonts w:hint="eastAsia" w:ascii="仿宋_GB2312" w:hAnsi="仿宋_GB2312" w:eastAsia="仿宋_GB2312" w:cs="仿宋_GB2312"/>
          <w:b/>
          <w:color w:val="000000"/>
          <w:sz w:val="32"/>
          <w:szCs w:val="32"/>
          <w:lang w:val="zh-CN" w:eastAsia="zh-CN"/>
        </w:rPr>
        <w:t>无重大违法记录声明</w:t>
      </w:r>
      <w:bookmarkEnd w:id="388"/>
    </w:p>
    <w:p w14:paraId="2C623BFC">
      <w:pPr>
        <w:widowControl w:val="0"/>
        <w:wordWrap/>
        <w:adjustRightInd/>
        <w:snapToGrid/>
        <w:spacing w:line="560" w:lineRule="exact"/>
        <w:textAlignment w:val="auto"/>
        <w:outlineLvl w:val="9"/>
        <w:rPr>
          <w:rFonts w:hint="default" w:ascii="仿宋_GB2312" w:hAnsi="仿宋_GB2312" w:eastAsia="仿宋_GB2312" w:cs="仿宋_GB2312"/>
          <w:b/>
          <w:bCs/>
          <w:color w:val="000000"/>
          <w:sz w:val="32"/>
          <w:szCs w:val="32"/>
          <w:u w:val="single"/>
          <w:lang w:val="en-US" w:eastAsia="zh-CN"/>
        </w:rPr>
      </w:pPr>
      <w:r>
        <w:rPr>
          <w:rFonts w:hint="eastAsia" w:ascii="宋体" w:hAnsi="宋体" w:cs="宋体"/>
          <w:b/>
          <w:bCs/>
          <w:color w:val="000000"/>
          <w:kern w:val="0"/>
          <w:lang w:val="en-US" w:eastAsia="zh-CN"/>
        </w:rPr>
        <w:t xml:space="preserve">  </w:t>
      </w: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209C5BC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w:t>
      </w:r>
      <w:r>
        <w:rPr>
          <w:rFonts w:hint="eastAsia" w:ascii="仿宋_GB2312" w:hAnsi="仿宋_GB2312" w:eastAsia="仿宋_GB2312" w:cs="仿宋_GB2312"/>
          <w:color w:val="000000"/>
          <w:sz w:val="32"/>
          <w:szCs w:val="32"/>
          <w:lang w:val="en-US" w:eastAsia="zh-CN"/>
        </w:rPr>
        <w:t>谈判</w:t>
      </w:r>
      <w:r>
        <w:rPr>
          <w:rFonts w:hint="eastAsia" w:ascii="仿宋_GB2312" w:hAnsi="仿宋_GB2312" w:eastAsia="仿宋_GB2312" w:cs="仿宋_GB2312"/>
          <w:color w:val="000000"/>
          <w:sz w:val="32"/>
          <w:szCs w:val="32"/>
        </w:rPr>
        <w:t>项目活动前三年内，在经营活动中无重大违法活动记录，符合《</w:t>
      </w:r>
      <w:r>
        <w:rPr>
          <w:rFonts w:hint="eastAsia" w:ascii="仿宋_GB2312" w:hAnsi="仿宋_GB2312" w:eastAsia="仿宋_GB2312" w:cs="仿宋_GB2312"/>
          <w:color w:val="000000"/>
          <w:sz w:val="32"/>
          <w:szCs w:val="32"/>
          <w:lang w:val="en-US" w:eastAsia="zh-CN"/>
        </w:rPr>
        <w:t>招投标</w:t>
      </w:r>
      <w:r>
        <w:rPr>
          <w:rFonts w:hint="eastAsia" w:ascii="仿宋_GB2312" w:hAnsi="仿宋_GB2312" w:eastAsia="仿宋_GB2312" w:cs="仿宋_GB2312"/>
          <w:color w:val="000000"/>
          <w:sz w:val="32"/>
          <w:szCs w:val="32"/>
        </w:rPr>
        <w:t>法》规定的</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资格条</w:t>
      </w:r>
      <w:r>
        <w:rPr>
          <w:rFonts w:hint="eastAsia" w:ascii="仿宋_GB2312" w:hAnsi="仿宋_GB2312" w:eastAsia="仿宋_GB2312" w:cs="仿宋_GB2312"/>
          <w:color w:val="000000"/>
          <w:sz w:val="32"/>
          <w:szCs w:val="32"/>
          <w:shd w:val="clear" w:color="auto" w:fill="FFFFFF"/>
        </w:rPr>
        <w:t>件。我方对此声明负全部法律责任。</w:t>
      </w:r>
    </w:p>
    <w:p w14:paraId="521721E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393FF091">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lang w:val="zh-CN"/>
        </w:rPr>
      </w:pPr>
    </w:p>
    <w:p w14:paraId="2A23E0BD">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w:t>
      </w:r>
      <w:r>
        <w:rPr>
          <w:rFonts w:hint="eastAsia" w:ascii="仿宋_GB2312" w:hAnsi="仿宋_GB2312" w:eastAsia="仿宋_GB2312" w:cs="仿宋_GB2312"/>
          <w:color w:val="000000"/>
          <w:kern w:val="0"/>
          <w:sz w:val="32"/>
          <w:szCs w:val="32"/>
          <w:lang w:eastAsia="zh-CN"/>
        </w:rPr>
        <w:t>谈判文件响应</w:t>
      </w:r>
      <w:r>
        <w:rPr>
          <w:rFonts w:hint="eastAsia" w:ascii="仿宋_GB2312" w:hAnsi="仿宋_GB2312" w:eastAsia="仿宋_GB2312" w:cs="仿宋_GB2312"/>
          <w:color w:val="000000"/>
          <w:kern w:val="0"/>
          <w:sz w:val="32"/>
          <w:szCs w:val="32"/>
        </w:rPr>
        <w:t>截止时间前20天内</w:t>
      </w:r>
      <w:r>
        <w:rPr>
          <w:rFonts w:hint="eastAsia" w:ascii="仿宋_GB2312" w:hAnsi="仿宋_GB2312" w:eastAsia="仿宋_GB2312" w:cs="仿宋_GB2312"/>
          <w:color w:val="000000"/>
          <w:sz w:val="32"/>
          <w:szCs w:val="32"/>
        </w:rPr>
        <w:t>。</w:t>
      </w:r>
    </w:p>
    <w:p w14:paraId="1DFAC24E">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14:paraId="02C15B18">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14:paraId="2A4A58C5">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389" w:name="_Toc2160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89"/>
    </w:p>
    <w:p w14:paraId="0E24D606">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90" w:name="_Toc14292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90"/>
    </w:p>
    <w:p w14:paraId="4A74DD97">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91" w:name="_Toc15350_WPSOffice_Level3"/>
      <w:r>
        <w:rPr>
          <w:rFonts w:hint="eastAsia" w:ascii="仿宋_GB2312" w:hAnsi="仿宋_GB2312" w:eastAsia="仿宋_GB2312" w:cs="仿宋_GB2312"/>
          <w:b w:val="0"/>
          <w:bCs/>
          <w:color w:val="000000"/>
          <w:sz w:val="32"/>
          <w:szCs w:val="32"/>
        </w:rPr>
        <w:t>年   月  日</w:t>
      </w:r>
      <w:bookmarkEnd w:id="391"/>
    </w:p>
    <w:p w14:paraId="0F9E27A9">
      <w:pPr>
        <w:widowControl w:val="0"/>
        <w:wordWrap/>
        <w:adjustRightInd/>
        <w:snapToGrid/>
        <w:spacing w:before="157" w:beforeLines="50" w:line="560" w:lineRule="exact"/>
        <w:ind w:firstLine="602" w:firstLineChars="200"/>
        <w:jc w:val="both"/>
        <w:textAlignment w:val="auto"/>
        <w:outlineLvl w:val="9"/>
        <w:rPr>
          <w:rFonts w:hint="eastAsia" w:ascii="宋体"/>
          <w:b/>
          <w:color w:val="000000"/>
          <w:sz w:val="28"/>
          <w:szCs w:val="28"/>
        </w:rPr>
      </w:pPr>
      <w:r>
        <w:rPr>
          <w:rFonts w:hint="eastAsia" w:ascii="仿宋_GB2312" w:hAnsi="仿宋_GB2312" w:eastAsia="仿宋_GB2312" w:cs="仿宋_GB2312"/>
          <w:b/>
          <w:color w:val="000000"/>
          <w:sz w:val="30"/>
          <w:szCs w:val="30"/>
          <w:lang w:eastAsia="zh-CN"/>
        </w:rPr>
        <w:br w:type="page"/>
      </w:r>
      <w:bookmarkEnd w:id="386"/>
      <w:bookmarkEnd w:id="387"/>
    </w:p>
    <w:p w14:paraId="5C7398B3">
      <w:pPr>
        <w:widowControl/>
        <w:wordWrap/>
        <w:snapToGrid w:val="0"/>
        <w:spacing w:before="157" w:beforeLines="50" w:line="560" w:lineRule="exact"/>
        <w:outlineLvl w:val="1"/>
        <w:rPr>
          <w:rFonts w:hint="eastAsia" w:ascii="宋体"/>
          <w:b/>
          <w:color w:val="000000"/>
          <w:sz w:val="36"/>
          <w:szCs w:val="36"/>
        </w:rPr>
      </w:pPr>
      <w:bookmarkStart w:id="392" w:name="_Toc19367"/>
      <w:bookmarkStart w:id="393" w:name="_Toc13416_WPSOffice_Level3"/>
      <w:bookmarkStart w:id="394" w:name="_Toc28116"/>
      <w:bookmarkStart w:id="395" w:name="_Toc2646_WPSOffice_Level3"/>
      <w:bookmarkStart w:id="396" w:name="_Toc3360"/>
      <w:bookmarkStart w:id="397" w:name="_Toc18715"/>
      <w:r>
        <w:rPr>
          <w:rFonts w:hint="eastAsia" w:ascii="楷体_GB2312" w:hAnsi="楷体_GB2312" w:eastAsia="楷体_GB2312" w:cs="楷体_GB2312"/>
          <w:b/>
          <w:bCs w:val="0"/>
          <w:color w:val="000000"/>
          <w:kern w:val="2"/>
          <w:sz w:val="32"/>
          <w:szCs w:val="32"/>
          <w:lang w:val="en-US" w:eastAsia="zh-CN" w:bidi="ar-SA"/>
        </w:rPr>
        <w:t>附件9：谈判首次报价表</w:t>
      </w:r>
      <w:bookmarkEnd w:id="392"/>
      <w:bookmarkEnd w:id="393"/>
      <w:bookmarkEnd w:id="394"/>
      <w:bookmarkEnd w:id="395"/>
      <w:bookmarkEnd w:id="396"/>
      <w:bookmarkEnd w:id="397"/>
    </w:p>
    <w:p w14:paraId="12CA3EEC">
      <w:pPr>
        <w:wordWrap/>
        <w:spacing w:before="157" w:beforeLines="50" w:line="560" w:lineRule="exact"/>
        <w:jc w:val="center"/>
        <w:outlineLvl w:val="9"/>
        <w:rPr>
          <w:rFonts w:hint="eastAsia" w:ascii="宋体" w:hAnsi="宋体"/>
          <w:b/>
          <w:color w:val="000000"/>
          <w:sz w:val="36"/>
          <w:szCs w:val="36"/>
        </w:rPr>
      </w:pPr>
      <w:bookmarkStart w:id="398" w:name="_Toc8724_WPSOffice_Level1"/>
      <w:bookmarkStart w:id="399" w:name="_Toc17115_WPSOffice_Level3"/>
      <w:bookmarkStart w:id="400" w:name="_Toc17322_WPSOffice_Level1"/>
      <w:r>
        <w:rPr>
          <w:rFonts w:hint="eastAsia" w:ascii="仿宋_GB2312" w:hAnsi="仿宋_GB2312" w:eastAsia="仿宋_GB2312" w:cs="仿宋_GB2312"/>
          <w:b/>
          <w:color w:val="000000"/>
          <w:sz w:val="32"/>
          <w:szCs w:val="32"/>
          <w:lang w:val="zh-CN" w:eastAsia="zh-CN"/>
        </w:rPr>
        <w:t>谈判首次报价表</w:t>
      </w:r>
      <w:bookmarkEnd w:id="398"/>
      <w:bookmarkEnd w:id="399"/>
      <w:bookmarkEnd w:id="400"/>
    </w:p>
    <w:p w14:paraId="3EC9F24F">
      <w:pPr>
        <w:widowControl w:val="0"/>
        <w:wordWrap/>
        <w:snapToGrid/>
        <w:spacing w:line="560" w:lineRule="exact"/>
        <w:outlineLvl w:val="9"/>
        <w:rPr>
          <w:rFonts w:hint="eastAsia" w:ascii="仿宋_GB2312" w:hAnsi="仿宋_GB2312" w:eastAsia="仿宋_GB2312" w:cs="仿宋_GB2312"/>
          <w:b w:val="0"/>
          <w:bCs/>
          <w:color w:val="000000"/>
          <w:sz w:val="32"/>
          <w:szCs w:val="32"/>
        </w:rPr>
      </w:pPr>
      <w:bookmarkStart w:id="401" w:name="_Toc14507_WPSOffice_Level2"/>
      <w:r>
        <w:rPr>
          <w:rFonts w:hint="eastAsia" w:ascii="仿宋_GB2312" w:hAnsi="仿宋_GB2312" w:eastAsia="仿宋_GB2312" w:cs="仿宋_GB2312"/>
          <w:b w:val="0"/>
          <w:bCs/>
          <w:color w:val="000000"/>
          <w:sz w:val="32"/>
          <w:szCs w:val="32"/>
        </w:rPr>
        <w:t>名称：</w:t>
      </w:r>
      <w:bookmarkEnd w:id="401"/>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tbl>
      <w:tblPr>
        <w:tblStyle w:val="20"/>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3D6D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4194084E">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项目名称</w:t>
            </w:r>
          </w:p>
        </w:tc>
        <w:tc>
          <w:tcPr>
            <w:tcW w:w="2717" w:type="dxa"/>
            <w:vAlign w:val="center"/>
          </w:tcPr>
          <w:p w14:paraId="208C24CE">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首次</w:t>
            </w:r>
            <w:r>
              <w:rPr>
                <w:rFonts w:hint="eastAsia" w:ascii="仿宋_GB2312" w:hAnsi="仿宋_GB2312" w:eastAsia="仿宋_GB2312" w:cs="仿宋_GB2312"/>
                <w:b w:val="0"/>
                <w:bCs/>
                <w:color w:val="000000"/>
                <w:sz w:val="32"/>
                <w:szCs w:val="32"/>
              </w:rPr>
              <w:t>报价</w:t>
            </w:r>
          </w:p>
        </w:tc>
        <w:tc>
          <w:tcPr>
            <w:tcW w:w="2670" w:type="dxa"/>
            <w:vAlign w:val="center"/>
          </w:tcPr>
          <w:p w14:paraId="68913BF7">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维保期限</w:t>
            </w:r>
          </w:p>
          <w:p w14:paraId="1D772E5C">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自然</w:t>
            </w:r>
            <w:r>
              <w:rPr>
                <w:rFonts w:hint="eastAsia" w:ascii="仿宋_GB2312" w:hAnsi="仿宋_GB2312" w:eastAsia="仿宋_GB2312" w:cs="仿宋_GB2312"/>
                <w:b w:val="0"/>
                <w:bCs/>
                <w:color w:val="000000"/>
                <w:sz w:val="32"/>
                <w:szCs w:val="32"/>
              </w:rPr>
              <w:t>日）</w:t>
            </w:r>
          </w:p>
        </w:tc>
        <w:tc>
          <w:tcPr>
            <w:tcW w:w="1560" w:type="dxa"/>
            <w:vAlign w:val="center"/>
          </w:tcPr>
          <w:p w14:paraId="5B83201A">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14:paraId="79A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021362F6">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14:paraId="1BED8694">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w:t>
            </w:r>
          </w:p>
        </w:tc>
        <w:tc>
          <w:tcPr>
            <w:tcW w:w="2670" w:type="dxa"/>
            <w:vMerge w:val="restart"/>
            <w:vAlign w:val="top"/>
          </w:tcPr>
          <w:p w14:paraId="4F98F20D">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000000"/>
                <w:sz w:val="32"/>
                <w:szCs w:val="32"/>
              </w:rPr>
            </w:pPr>
          </w:p>
        </w:tc>
        <w:tc>
          <w:tcPr>
            <w:tcW w:w="1560" w:type="dxa"/>
            <w:vMerge w:val="restart"/>
            <w:vAlign w:val="top"/>
          </w:tcPr>
          <w:p w14:paraId="74AD8F65">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14:paraId="4689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4D2F4F60">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14:paraId="7E43570C">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小写：</w:t>
            </w:r>
          </w:p>
        </w:tc>
        <w:tc>
          <w:tcPr>
            <w:tcW w:w="2670" w:type="dxa"/>
            <w:vMerge w:val="continue"/>
            <w:vAlign w:val="top"/>
          </w:tcPr>
          <w:p w14:paraId="7BD32C91">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1560" w:type="dxa"/>
            <w:vMerge w:val="continue"/>
            <w:vAlign w:val="top"/>
          </w:tcPr>
          <w:p w14:paraId="2482FFC1">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14:paraId="49AF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7B9D92D8">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bl>
    <w:p w14:paraId="13866276">
      <w:pPr>
        <w:widowControl w:val="0"/>
        <w:wordWrap/>
        <w:snapToGrid/>
        <w:spacing w:line="56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36C61101">
      <w:pPr>
        <w:widowControl w:val="0"/>
        <w:wordWrap/>
        <w:snapToGrid/>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、响应文件</w:t>
      </w:r>
      <w:r>
        <w:rPr>
          <w:rFonts w:hint="eastAsia" w:ascii="仿宋_GB2312" w:hAnsi="仿宋_GB2312" w:eastAsia="仿宋_GB2312" w:cs="仿宋_GB2312"/>
          <w:color w:val="000000"/>
          <w:sz w:val="32"/>
          <w:szCs w:val="32"/>
        </w:rPr>
        <w:t>报价为总价。包括</w:t>
      </w:r>
      <w:r>
        <w:rPr>
          <w:rFonts w:hint="eastAsia" w:ascii="仿宋_GB2312" w:hAnsi="仿宋_GB2312" w:eastAsia="仿宋_GB2312" w:cs="仿宋_GB2312"/>
          <w:color w:val="000000"/>
          <w:sz w:val="32"/>
          <w:szCs w:val="32"/>
          <w:lang w:val="en-US" w:eastAsia="zh-CN"/>
        </w:rPr>
        <w:t>维保服务期内所发生的一切费用</w:t>
      </w:r>
      <w:r>
        <w:rPr>
          <w:rFonts w:hint="eastAsia" w:ascii="仿宋_GB2312" w:hAnsi="仿宋_GB2312" w:eastAsia="仿宋_GB2312" w:cs="仿宋_GB2312"/>
          <w:color w:val="000000"/>
          <w:sz w:val="32"/>
          <w:szCs w:val="32"/>
        </w:rPr>
        <w:t>。</w:t>
      </w:r>
    </w:p>
    <w:p w14:paraId="2990EBD6">
      <w:pPr>
        <w:widowControl w:val="0"/>
        <w:wordWrap/>
        <w:snapToGrid/>
        <w:spacing w:line="560" w:lineRule="exact"/>
        <w:ind w:firstLine="640" w:firstLineChars="200"/>
        <w:outlineLvl w:val="2"/>
        <w:rPr>
          <w:rFonts w:hint="eastAsia" w:ascii="宋体" w:hAnsi="宋体"/>
          <w:color w:val="000000"/>
          <w:sz w:val="24"/>
        </w:rPr>
      </w:pPr>
      <w:bookmarkStart w:id="402" w:name="_Toc7831"/>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维保</w:t>
      </w:r>
      <w:r>
        <w:rPr>
          <w:rFonts w:hint="eastAsia" w:ascii="仿宋_GB2312" w:hAnsi="仿宋_GB2312" w:eastAsia="仿宋_GB2312" w:cs="仿宋_GB2312"/>
          <w:color w:val="000000"/>
          <w:sz w:val="32"/>
          <w:szCs w:val="32"/>
        </w:rPr>
        <w:t>期”是指能够</w:t>
      </w:r>
      <w:r>
        <w:rPr>
          <w:rFonts w:hint="eastAsia" w:ascii="仿宋_GB2312" w:hAnsi="仿宋_GB2312" w:eastAsia="仿宋_GB2312" w:cs="仿宋_GB2312"/>
          <w:color w:val="000000"/>
          <w:sz w:val="32"/>
          <w:szCs w:val="32"/>
          <w:lang w:val="en-US" w:eastAsia="zh-CN"/>
        </w:rPr>
        <w:t>提供维保服务的</w:t>
      </w: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lang w:val="en-US" w:eastAsia="zh-CN"/>
        </w:rPr>
        <w:t>自然</w:t>
      </w:r>
      <w:r>
        <w:rPr>
          <w:rFonts w:hint="eastAsia" w:ascii="仿宋_GB2312" w:hAnsi="仿宋_GB2312" w:eastAsia="仿宋_GB2312" w:cs="仿宋_GB2312"/>
          <w:color w:val="000000"/>
          <w:sz w:val="32"/>
          <w:szCs w:val="32"/>
        </w:rPr>
        <w:t>日）。</w:t>
      </w:r>
      <w:bookmarkEnd w:id="402"/>
    </w:p>
    <w:p w14:paraId="717BCA6E">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bookmarkStart w:id="403" w:name="_Toc27526_WPSOffice_Level3"/>
      <w:r>
        <w:rPr>
          <w:rFonts w:hint="eastAsia" w:ascii="宋体" w:hAnsi="宋体"/>
          <w:b/>
          <w:color w:val="000000"/>
          <w:sz w:val="24"/>
          <w:lang w:val="en-US" w:eastAsia="zh-CN"/>
        </w:rPr>
        <w:t xml:space="preserve"> </w:t>
      </w:r>
      <w:bookmarkStart w:id="404" w:name="_Toc11022_WPSOffice_Level3"/>
      <w:r>
        <w:rPr>
          <w:rFonts w:hint="eastAsia" w:ascii="仿宋_GB2312" w:hAnsi="仿宋_GB2312" w:eastAsia="仿宋_GB2312" w:cs="仿宋_GB2312"/>
          <w:b w:val="0"/>
          <w:bCs/>
          <w:color w:val="000000"/>
          <w:sz w:val="32"/>
          <w:szCs w:val="32"/>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03"/>
      <w:bookmarkEnd w:id="404"/>
    </w:p>
    <w:p w14:paraId="156E8E53">
      <w:pPr>
        <w:wordWrap/>
        <w:spacing w:before="157" w:beforeLines="50" w:line="560" w:lineRule="exact"/>
        <w:ind w:firstLine="640" w:firstLineChars="200"/>
        <w:jc w:val="center"/>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05" w:name="_Toc32417_WPSOffice_Level3"/>
      <w:bookmarkStart w:id="406" w:name="_Toc2393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05"/>
      <w:bookmarkEnd w:id="406"/>
    </w:p>
    <w:p w14:paraId="46A61444">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07" w:name="_Toc23319_WPSOffice_Level3"/>
      <w:bookmarkStart w:id="408" w:name="_Toc19388_WPSOffice_Level3"/>
      <w:r>
        <w:rPr>
          <w:rFonts w:hint="eastAsia" w:ascii="仿宋_GB2312" w:hAnsi="仿宋_GB2312" w:eastAsia="仿宋_GB2312" w:cs="仿宋_GB2312"/>
          <w:b w:val="0"/>
          <w:bCs/>
          <w:color w:val="000000"/>
          <w:sz w:val="32"/>
          <w:szCs w:val="32"/>
        </w:rPr>
        <w:t>年   月  日</w:t>
      </w:r>
      <w:bookmarkEnd w:id="407"/>
      <w:bookmarkEnd w:id="408"/>
    </w:p>
    <w:p w14:paraId="52DA591A">
      <w:pPr>
        <w:widowControl/>
        <w:wordWrap/>
        <w:adjustRightInd w:val="0"/>
        <w:snapToGrid w:val="0"/>
        <w:spacing w:before="157" w:beforeLines="50" w:line="560" w:lineRule="exact"/>
        <w:jc w:val="left"/>
        <w:rPr>
          <w:rFonts w:hint="eastAsia" w:ascii="宋体" w:hAnsi="宋体" w:cs="宋体"/>
          <w:spacing w:val="6"/>
          <w:kern w:val="0"/>
          <w:szCs w:val="21"/>
        </w:rPr>
      </w:pPr>
    </w:p>
    <w:p w14:paraId="0B7A5701">
      <w:pPr>
        <w:widowControl/>
        <w:wordWrap/>
        <w:adjustRightInd w:val="0"/>
        <w:snapToGrid w:val="0"/>
        <w:spacing w:before="157" w:beforeLines="50" w:line="560" w:lineRule="exact"/>
        <w:jc w:val="left"/>
        <w:rPr>
          <w:rFonts w:hint="eastAsia" w:ascii="宋体" w:hAnsi="宋体" w:cs="宋体"/>
          <w:spacing w:val="6"/>
          <w:kern w:val="0"/>
          <w:szCs w:val="21"/>
        </w:rPr>
      </w:pPr>
    </w:p>
    <w:p w14:paraId="48C605A1">
      <w:pPr>
        <w:widowControl/>
        <w:wordWrap/>
        <w:adjustRightInd w:val="0"/>
        <w:snapToGrid w:val="0"/>
        <w:spacing w:before="157" w:beforeLines="50" w:line="560" w:lineRule="exact"/>
        <w:jc w:val="left"/>
        <w:rPr>
          <w:rFonts w:hint="eastAsia" w:ascii="宋体" w:hAnsi="宋体" w:cs="宋体"/>
          <w:spacing w:val="6"/>
          <w:kern w:val="0"/>
          <w:szCs w:val="21"/>
        </w:rPr>
      </w:pPr>
    </w:p>
    <w:p w14:paraId="316D6794">
      <w:pPr>
        <w:widowControl/>
        <w:wordWrap/>
        <w:snapToGrid w:val="0"/>
        <w:spacing w:before="157" w:beforeLines="50" w:line="560" w:lineRule="exact"/>
        <w:outlineLvl w:val="9"/>
        <w:rPr>
          <w:rFonts w:hint="default" w:ascii="宋体"/>
          <w:b/>
          <w:color w:val="000000"/>
          <w:sz w:val="28"/>
          <w:szCs w:val="28"/>
          <w:lang w:val="en-US" w:eastAsia="zh-CN"/>
        </w:rPr>
      </w:pPr>
    </w:p>
    <w:p w14:paraId="572AAE34">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09" w:name="_Toc23033_WPSOffice_Level3"/>
      <w:bookmarkStart w:id="410" w:name="_Toc12068_WPSOffice_Level3"/>
      <w:bookmarkStart w:id="411" w:name="_Toc21346"/>
      <w:bookmarkStart w:id="412" w:name="_Toc15545"/>
      <w:r>
        <w:rPr>
          <w:rFonts w:hint="eastAsia" w:ascii="楷体_GB2312" w:hAnsi="楷体_GB2312" w:eastAsia="楷体_GB2312" w:cs="楷体_GB2312"/>
          <w:b/>
          <w:bCs w:val="0"/>
          <w:color w:val="000000"/>
          <w:kern w:val="2"/>
          <w:sz w:val="32"/>
          <w:szCs w:val="32"/>
          <w:lang w:val="en-US" w:eastAsia="zh-CN" w:bidi="ar-SA"/>
        </w:rPr>
        <w:t>附件10：最后报价表</w:t>
      </w:r>
      <w:bookmarkEnd w:id="409"/>
      <w:bookmarkEnd w:id="410"/>
      <w:bookmarkEnd w:id="411"/>
      <w:bookmarkEnd w:id="412"/>
    </w:p>
    <w:p w14:paraId="4B468964">
      <w:pPr>
        <w:widowControl w:val="0"/>
        <w:wordWrap/>
        <w:autoSpaceDE w:val="0"/>
        <w:autoSpaceDN w:val="0"/>
        <w:adjustRightInd w:val="0"/>
        <w:snapToGrid/>
        <w:spacing w:line="560" w:lineRule="exact"/>
        <w:ind w:left="283" w:leftChars="135"/>
        <w:jc w:val="center"/>
        <w:outlineLvl w:val="2"/>
        <w:rPr>
          <w:rFonts w:hint="eastAsia" w:ascii="楷体_GB2312" w:hAnsi="楷体_GB2312" w:eastAsia="楷体_GB2312" w:cs="楷体_GB2312"/>
          <w:b/>
          <w:bCs w:val="0"/>
          <w:sz w:val="32"/>
          <w:szCs w:val="32"/>
          <w:lang w:val="zh-CN"/>
        </w:rPr>
      </w:pPr>
      <w:bookmarkStart w:id="413" w:name="_Toc3891"/>
      <w:r>
        <w:rPr>
          <w:rFonts w:hint="eastAsia" w:ascii="楷体_GB2312" w:hAnsi="楷体_GB2312" w:eastAsia="楷体_GB2312" w:cs="楷体_GB2312"/>
          <w:b/>
          <w:bCs w:val="0"/>
          <w:color w:val="000000"/>
          <w:kern w:val="2"/>
          <w:sz w:val="32"/>
          <w:szCs w:val="32"/>
          <w:lang w:val="en-US" w:eastAsia="zh-CN" w:bidi="ar-SA"/>
        </w:rPr>
        <w:t>最后报价表</w:t>
      </w:r>
      <w:bookmarkEnd w:id="413"/>
    </w:p>
    <w:p w14:paraId="1F571383">
      <w:pPr>
        <w:widowControl w:val="0"/>
        <w:wordWrap/>
        <w:snapToGrid/>
        <w:spacing w:line="560" w:lineRule="exact"/>
        <w:ind w:left="283" w:leftChars="135"/>
        <w:outlineLvl w:val="9"/>
        <w:rPr>
          <w:rFonts w:hint="eastAsia" w:ascii="仿宋_GB2312" w:hAnsi="仿宋_GB2312" w:eastAsia="仿宋_GB2312" w:cs="仿宋_GB2312"/>
          <w:b/>
          <w:bCs w:val="0"/>
          <w:sz w:val="32"/>
          <w:szCs w:val="32"/>
        </w:rPr>
      </w:pPr>
      <w:bookmarkStart w:id="414" w:name="_Toc31451_WPSOffice_Level2"/>
      <w:bookmarkStart w:id="415" w:name="_Toc26632_WPSOffice_Level2"/>
      <w:r>
        <w:rPr>
          <w:rFonts w:hint="eastAsia" w:ascii="仿宋_GB2312" w:hAnsi="仿宋_GB2312" w:eastAsia="仿宋_GB2312" w:cs="仿宋_GB2312"/>
          <w:b/>
          <w:bCs w:val="0"/>
          <w:sz w:val="32"/>
          <w:szCs w:val="32"/>
        </w:rPr>
        <w:t>项目名称：</w:t>
      </w:r>
      <w:bookmarkEnd w:id="414"/>
      <w:bookmarkEnd w:id="415"/>
      <w:r>
        <w:rPr>
          <w:rFonts w:hint="eastAsia" w:ascii="仿宋_GB2312" w:hAnsi="仿宋_GB2312" w:eastAsia="仿宋_GB2312" w:cs="仿宋_GB2312"/>
          <w:b/>
          <w:bCs w:val="0"/>
          <w:sz w:val="32"/>
          <w:szCs w:val="32"/>
        </w:rPr>
        <w:t xml:space="preserve">                                           </w:t>
      </w:r>
    </w:p>
    <w:p w14:paraId="65E45329">
      <w:pPr>
        <w:wordWrap/>
        <w:spacing w:before="157" w:beforeLines="50" w:line="560" w:lineRule="exact"/>
        <w:ind w:firstLine="321" w:firstLineChars="100"/>
        <w:outlineLvl w:val="9"/>
        <w:rPr>
          <w:rFonts w:hint="eastAsia" w:ascii="仿宋_GB2312" w:hAnsi="仿宋_GB2312" w:eastAsia="仿宋_GB2312" w:cs="仿宋_GB2312"/>
          <w:bCs/>
          <w:color w:val="000000"/>
          <w:sz w:val="32"/>
          <w:szCs w:val="32"/>
        </w:rPr>
      </w:pPr>
      <w:bookmarkStart w:id="416" w:name="_Toc18301_WPSOffice_Level2"/>
      <w:bookmarkStart w:id="417" w:name="_Toc16830_WPSOffice_Level2"/>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416"/>
      <w:bookmarkEnd w:id="417"/>
    </w:p>
    <w:p w14:paraId="283093E3">
      <w:pPr>
        <w:wordWrap/>
        <w:spacing w:before="157" w:beforeLines="50" w:line="560" w:lineRule="exact"/>
        <w:ind w:firstLine="321" w:firstLineChars="100"/>
        <w:outlineLvl w:val="9"/>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竞标人：</w:t>
      </w:r>
    </w:p>
    <w:p w14:paraId="324C1283">
      <w:pPr>
        <w:wordWrap/>
        <w:spacing w:before="157" w:beforeLines="50" w:line="560" w:lineRule="exact"/>
        <w:ind w:firstLine="320" w:firstLineChars="100"/>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（本表在谈判结束后单独填写并提交，</w:t>
      </w:r>
      <w:r>
        <w:rPr>
          <w:rFonts w:hint="eastAsia" w:ascii="仿宋_GB2312" w:hAnsi="仿宋_GB2312" w:eastAsia="仿宋_GB2312" w:cs="仿宋_GB2312"/>
          <w:bCs/>
          <w:color w:val="000000"/>
          <w:sz w:val="32"/>
          <w:szCs w:val="32"/>
          <w:lang w:val="en-US" w:eastAsia="zh-CN"/>
        </w:rPr>
        <w:t>竞标人应提前自行打印并加盖公章，根据现场实际情况进行报价。</w:t>
      </w:r>
      <w:r>
        <w:rPr>
          <w:rFonts w:hint="eastAsia" w:ascii="仿宋_GB2312" w:hAnsi="仿宋_GB2312" w:eastAsia="仿宋_GB2312" w:cs="仿宋_GB2312"/>
          <w:bCs/>
          <w:color w:val="000000"/>
          <w:sz w:val="32"/>
          <w:szCs w:val="32"/>
          <w:lang w:eastAsia="zh-CN"/>
        </w:rPr>
        <w:t>）</w:t>
      </w:r>
    </w:p>
    <w:tbl>
      <w:tblPr>
        <w:tblStyle w:val="20"/>
        <w:tblpPr w:leftFromText="180" w:rightFromText="180" w:vertAnchor="text" w:horzAnchor="page" w:tblpX="1972" w:tblpY="1319"/>
        <w:tblOverlap w:val="never"/>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05"/>
        <w:gridCol w:w="2445"/>
        <w:gridCol w:w="1499"/>
      </w:tblGrid>
      <w:tr w14:paraId="75AD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92" w:type="dxa"/>
            <w:vAlign w:val="center"/>
          </w:tcPr>
          <w:p w14:paraId="55F2FF56">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序号</w:t>
            </w:r>
          </w:p>
        </w:tc>
        <w:tc>
          <w:tcPr>
            <w:tcW w:w="2905" w:type="dxa"/>
            <w:vAlign w:val="center"/>
          </w:tcPr>
          <w:p w14:paraId="436631BC">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最初报价</w:t>
            </w:r>
          </w:p>
        </w:tc>
        <w:tc>
          <w:tcPr>
            <w:tcW w:w="2445" w:type="dxa"/>
            <w:vAlign w:val="center"/>
          </w:tcPr>
          <w:p w14:paraId="30B709BD">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最后报价</w:t>
            </w:r>
          </w:p>
        </w:tc>
        <w:tc>
          <w:tcPr>
            <w:tcW w:w="1499" w:type="dxa"/>
            <w:vAlign w:val="center"/>
          </w:tcPr>
          <w:p w14:paraId="5C0672B3">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工</w:t>
            </w:r>
            <w:r>
              <w:rPr>
                <w:rFonts w:hint="eastAsia" w:ascii="仿宋_GB2312" w:hAnsi="仿宋_GB2312" w:eastAsia="仿宋_GB2312" w:cs="仿宋_GB2312"/>
                <w:b/>
                <w:bCs w:val="0"/>
                <w:sz w:val="32"/>
                <w:szCs w:val="32"/>
              </w:rPr>
              <w:t>期</w:t>
            </w:r>
          </w:p>
        </w:tc>
      </w:tr>
      <w:tr w14:paraId="04FC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2" w:type="dxa"/>
            <w:vMerge w:val="restart"/>
            <w:tcBorders>
              <w:left w:val="single" w:color="auto" w:sz="4" w:space="0"/>
            </w:tcBorders>
            <w:vAlign w:val="center"/>
          </w:tcPr>
          <w:p w14:paraId="520A68FC">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5F91A490">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2445" w:type="dxa"/>
            <w:vAlign w:val="top"/>
          </w:tcPr>
          <w:p w14:paraId="230D10C5">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1499" w:type="dxa"/>
            <w:vMerge w:val="restart"/>
            <w:vAlign w:val="center"/>
          </w:tcPr>
          <w:p w14:paraId="316F2814">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4F1E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92" w:type="dxa"/>
            <w:vMerge w:val="continue"/>
            <w:tcBorders>
              <w:left w:val="single" w:color="auto" w:sz="4" w:space="0"/>
              <w:right w:val="nil"/>
            </w:tcBorders>
            <w:vAlign w:val="center"/>
          </w:tcPr>
          <w:p w14:paraId="400D0745">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6580246A">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2445" w:type="dxa"/>
            <w:vAlign w:val="top"/>
          </w:tcPr>
          <w:p w14:paraId="16077AF8">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1499" w:type="dxa"/>
            <w:vMerge w:val="continue"/>
            <w:vAlign w:val="center"/>
          </w:tcPr>
          <w:p w14:paraId="7955C7DC">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41B8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141" w:type="dxa"/>
            <w:gridSpan w:val="4"/>
            <w:tcBorders>
              <w:bottom w:val="single" w:color="auto" w:sz="4" w:space="0"/>
            </w:tcBorders>
            <w:vAlign w:val="center"/>
          </w:tcPr>
          <w:p w14:paraId="26BF7591">
            <w:pPr>
              <w:widowControl w:val="0"/>
              <w:wordWrap/>
              <w:snapToGrid/>
              <w:spacing w:line="560" w:lineRule="exact"/>
              <w:ind w:left="283" w:leftChars="135"/>
              <w:jc w:val="left"/>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最终确定的质量保证及服务承诺</w:t>
            </w:r>
          </w:p>
        </w:tc>
      </w:tr>
    </w:tbl>
    <w:p w14:paraId="174F7F9D">
      <w:pPr>
        <w:widowControl w:val="0"/>
        <w:wordWrap/>
        <w:autoSpaceDE w:val="0"/>
        <w:autoSpaceDN w:val="0"/>
        <w:adjustRightInd w:val="0"/>
        <w:snapToGrid/>
        <w:spacing w:line="560" w:lineRule="exact"/>
        <w:jc w:val="both"/>
        <w:outlineLvl w:val="9"/>
        <w:rPr>
          <w:rFonts w:hint="eastAsia" w:ascii="仿宋_GB2312" w:hAnsi="仿宋_GB2312" w:eastAsia="仿宋_GB2312" w:cs="仿宋_GB2312"/>
          <w:b/>
          <w:color w:val="000000"/>
          <w:sz w:val="32"/>
          <w:szCs w:val="32"/>
        </w:rPr>
      </w:pPr>
    </w:p>
    <w:p w14:paraId="6E7C7837">
      <w:pPr>
        <w:pStyle w:val="2"/>
        <w:rPr>
          <w:rFonts w:hint="eastAsia" w:ascii="仿宋_GB2312" w:hAnsi="仿宋_GB2312" w:eastAsia="仿宋_GB2312" w:cs="仿宋_GB2312"/>
          <w:b/>
          <w:color w:val="000000"/>
          <w:sz w:val="32"/>
          <w:szCs w:val="32"/>
        </w:rPr>
      </w:pPr>
    </w:p>
    <w:p w14:paraId="55F073A9">
      <w:pPr>
        <w:pStyle w:val="2"/>
        <w:rPr>
          <w:rFonts w:hint="eastAsia" w:ascii="仿宋_GB2312" w:hAnsi="仿宋_GB2312" w:eastAsia="仿宋_GB2312" w:cs="仿宋_GB2312"/>
          <w:b/>
          <w:color w:val="000000"/>
          <w:sz w:val="32"/>
          <w:szCs w:val="32"/>
        </w:rPr>
      </w:pPr>
    </w:p>
    <w:p w14:paraId="6A492073">
      <w:pPr>
        <w:pStyle w:val="2"/>
        <w:ind w:left="0" w:leftChars="0" w:firstLine="0" w:firstLineChars="0"/>
        <w:rPr>
          <w:rFonts w:hint="default" w:ascii="仿宋_GB2312" w:hAnsi="仿宋_GB2312" w:eastAsia="仿宋_GB2312" w:cs="仿宋_GB2312"/>
          <w:b/>
          <w:color w:val="000000"/>
          <w:sz w:val="32"/>
          <w:szCs w:val="32"/>
          <w:lang w:val="en-US" w:eastAsia="zh-CN"/>
        </w:rPr>
      </w:pPr>
    </w:p>
    <w:sectPr>
      <w:footerReference r:id="rId3"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7EF9">
    <w:pPr>
      <w:pStyle w:val="1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08D2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Yvxd74BAACeAwAADgAAAAAAAAABACAAAAAeAQAAZHJzL2Uyb0RvYy54bWxQSwUGAAAA&#10;AAYABgBZAQAATgUAAAAA&#10;">
              <v:fill on="f" focussize="0,0"/>
              <v:stroke on="f"/>
              <v:imagedata o:title=""/>
              <o:lock v:ext="edit" aspectratio="f"/>
              <v:textbox inset="0mm,0mm,0mm,0mm" style="mso-fit-shape-to-text:t;">
                <w:txbxContent>
                  <w:p w14:paraId="39608D2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BEC42"/>
    <w:multiLevelType w:val="singleLevel"/>
    <w:tmpl w:val="B2CBEC42"/>
    <w:lvl w:ilvl="0" w:tentative="0">
      <w:start w:val="8"/>
      <w:numFmt w:val="chineseCounting"/>
      <w:suff w:val="nothing"/>
      <w:lvlText w:val="%1、"/>
      <w:lvlJc w:val="left"/>
      <w:rPr>
        <w:rFonts w:hint="eastAsia"/>
      </w:rPr>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MTIzMzdiNGFlYjUyYzU0N2RiOWRiNmU2MjhmNGUifQ=="/>
  </w:docVars>
  <w:rsids>
    <w:rsidRoot w:val="7D9B5E16"/>
    <w:rsid w:val="02637B1D"/>
    <w:rsid w:val="02664A99"/>
    <w:rsid w:val="02A9297E"/>
    <w:rsid w:val="03442F30"/>
    <w:rsid w:val="03A34D06"/>
    <w:rsid w:val="04474517"/>
    <w:rsid w:val="04DE17B1"/>
    <w:rsid w:val="05210BC9"/>
    <w:rsid w:val="055D0822"/>
    <w:rsid w:val="056913B5"/>
    <w:rsid w:val="05694E7D"/>
    <w:rsid w:val="05E12013"/>
    <w:rsid w:val="05FD3580"/>
    <w:rsid w:val="0624278B"/>
    <w:rsid w:val="06F2641E"/>
    <w:rsid w:val="07867AF5"/>
    <w:rsid w:val="0891104C"/>
    <w:rsid w:val="0A536242"/>
    <w:rsid w:val="0A801DDE"/>
    <w:rsid w:val="0AED28F4"/>
    <w:rsid w:val="0B2B4C7E"/>
    <w:rsid w:val="0BB54002"/>
    <w:rsid w:val="0C045C6A"/>
    <w:rsid w:val="0C661388"/>
    <w:rsid w:val="0CA87A52"/>
    <w:rsid w:val="0D256ADD"/>
    <w:rsid w:val="0D616E1A"/>
    <w:rsid w:val="0D711167"/>
    <w:rsid w:val="0DC739FA"/>
    <w:rsid w:val="0E783BEB"/>
    <w:rsid w:val="0E874D29"/>
    <w:rsid w:val="0E930373"/>
    <w:rsid w:val="0FB6758C"/>
    <w:rsid w:val="109055EB"/>
    <w:rsid w:val="10DE48CA"/>
    <w:rsid w:val="11FB2BE7"/>
    <w:rsid w:val="12400F8A"/>
    <w:rsid w:val="1289645E"/>
    <w:rsid w:val="13D2255B"/>
    <w:rsid w:val="14526E5B"/>
    <w:rsid w:val="1532490E"/>
    <w:rsid w:val="15CB1E0B"/>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251E0D"/>
    <w:rsid w:val="1D7542D0"/>
    <w:rsid w:val="1D9A4A78"/>
    <w:rsid w:val="1E2F4669"/>
    <w:rsid w:val="1E662D79"/>
    <w:rsid w:val="1EED3CFC"/>
    <w:rsid w:val="1EF65831"/>
    <w:rsid w:val="1F1D4355"/>
    <w:rsid w:val="1F505606"/>
    <w:rsid w:val="1F692796"/>
    <w:rsid w:val="20525060"/>
    <w:rsid w:val="207F0C88"/>
    <w:rsid w:val="21C422F5"/>
    <w:rsid w:val="2272669E"/>
    <w:rsid w:val="227F4D71"/>
    <w:rsid w:val="2280389A"/>
    <w:rsid w:val="247C2A7C"/>
    <w:rsid w:val="24FD76C4"/>
    <w:rsid w:val="25A60401"/>
    <w:rsid w:val="26806F3F"/>
    <w:rsid w:val="26B0198D"/>
    <w:rsid w:val="278F5CF9"/>
    <w:rsid w:val="28773DCD"/>
    <w:rsid w:val="28ED597C"/>
    <w:rsid w:val="29907531"/>
    <w:rsid w:val="29A0362E"/>
    <w:rsid w:val="2ADE5E46"/>
    <w:rsid w:val="2B78699C"/>
    <w:rsid w:val="2BA7143E"/>
    <w:rsid w:val="2C2E5CBB"/>
    <w:rsid w:val="2CC30608"/>
    <w:rsid w:val="2D3447B9"/>
    <w:rsid w:val="2E717182"/>
    <w:rsid w:val="2F173B14"/>
    <w:rsid w:val="2F7A1819"/>
    <w:rsid w:val="2F7B1CC0"/>
    <w:rsid w:val="2FD74D0A"/>
    <w:rsid w:val="30B46ED7"/>
    <w:rsid w:val="30D84A6D"/>
    <w:rsid w:val="30E7382C"/>
    <w:rsid w:val="31B41738"/>
    <w:rsid w:val="31BE7DA5"/>
    <w:rsid w:val="31CD6FAF"/>
    <w:rsid w:val="31D0239F"/>
    <w:rsid w:val="321A0F82"/>
    <w:rsid w:val="34184F37"/>
    <w:rsid w:val="342873FA"/>
    <w:rsid w:val="348875DC"/>
    <w:rsid w:val="35061DD1"/>
    <w:rsid w:val="356B65D3"/>
    <w:rsid w:val="35F42D38"/>
    <w:rsid w:val="381009F4"/>
    <w:rsid w:val="38177AC2"/>
    <w:rsid w:val="38330237"/>
    <w:rsid w:val="39B102D8"/>
    <w:rsid w:val="39E61C93"/>
    <w:rsid w:val="3AD61226"/>
    <w:rsid w:val="3AF96301"/>
    <w:rsid w:val="3B250922"/>
    <w:rsid w:val="3C0E6A8C"/>
    <w:rsid w:val="3C2B718F"/>
    <w:rsid w:val="3CDA061D"/>
    <w:rsid w:val="3D4C7081"/>
    <w:rsid w:val="3D627B48"/>
    <w:rsid w:val="3D9F3525"/>
    <w:rsid w:val="3DCC1178"/>
    <w:rsid w:val="3E004C98"/>
    <w:rsid w:val="3E3B0987"/>
    <w:rsid w:val="3E6F1C2A"/>
    <w:rsid w:val="3F000963"/>
    <w:rsid w:val="3FCC1BB2"/>
    <w:rsid w:val="3FFA1B0C"/>
    <w:rsid w:val="40B97554"/>
    <w:rsid w:val="41A32357"/>
    <w:rsid w:val="43803F8D"/>
    <w:rsid w:val="44107D9B"/>
    <w:rsid w:val="44644852"/>
    <w:rsid w:val="45EE208A"/>
    <w:rsid w:val="460515BC"/>
    <w:rsid w:val="47176167"/>
    <w:rsid w:val="47C462E6"/>
    <w:rsid w:val="47CF0B1D"/>
    <w:rsid w:val="47E23378"/>
    <w:rsid w:val="4AD87F7A"/>
    <w:rsid w:val="4B9F2679"/>
    <w:rsid w:val="4BDE5526"/>
    <w:rsid w:val="4C8D39F2"/>
    <w:rsid w:val="4CB10ACF"/>
    <w:rsid w:val="4CC01E86"/>
    <w:rsid w:val="4D2B7562"/>
    <w:rsid w:val="4DDB03B5"/>
    <w:rsid w:val="4DED4A76"/>
    <w:rsid w:val="4ED72EBD"/>
    <w:rsid w:val="4EDD7EB3"/>
    <w:rsid w:val="4EE202E0"/>
    <w:rsid w:val="4EF84D3E"/>
    <w:rsid w:val="4F5C1D7A"/>
    <w:rsid w:val="4FAD5A17"/>
    <w:rsid w:val="50765C52"/>
    <w:rsid w:val="51271052"/>
    <w:rsid w:val="5176769E"/>
    <w:rsid w:val="519017FF"/>
    <w:rsid w:val="51B22AB2"/>
    <w:rsid w:val="51FE73D1"/>
    <w:rsid w:val="53534733"/>
    <w:rsid w:val="535B4140"/>
    <w:rsid w:val="53B41740"/>
    <w:rsid w:val="53E9079A"/>
    <w:rsid w:val="54AB36A4"/>
    <w:rsid w:val="5571016F"/>
    <w:rsid w:val="557F61CB"/>
    <w:rsid w:val="55B04C26"/>
    <w:rsid w:val="55F51E57"/>
    <w:rsid w:val="565E5A65"/>
    <w:rsid w:val="57F27B11"/>
    <w:rsid w:val="587D00AE"/>
    <w:rsid w:val="59361F1D"/>
    <w:rsid w:val="59D40607"/>
    <w:rsid w:val="5AA26202"/>
    <w:rsid w:val="5AEF00AC"/>
    <w:rsid w:val="5BFA2163"/>
    <w:rsid w:val="5C331E32"/>
    <w:rsid w:val="5CC84CFD"/>
    <w:rsid w:val="5D4A3A21"/>
    <w:rsid w:val="5D6408DE"/>
    <w:rsid w:val="5E814705"/>
    <w:rsid w:val="5EB924A6"/>
    <w:rsid w:val="5F1A17D3"/>
    <w:rsid w:val="5F8038FF"/>
    <w:rsid w:val="60AE2DC5"/>
    <w:rsid w:val="60F25329"/>
    <w:rsid w:val="61003D57"/>
    <w:rsid w:val="62057B6D"/>
    <w:rsid w:val="62D57FC5"/>
    <w:rsid w:val="64727E37"/>
    <w:rsid w:val="661E127D"/>
    <w:rsid w:val="6628294C"/>
    <w:rsid w:val="6658601C"/>
    <w:rsid w:val="666E6D57"/>
    <w:rsid w:val="668C6B1C"/>
    <w:rsid w:val="67466E44"/>
    <w:rsid w:val="69981EF7"/>
    <w:rsid w:val="6AC11213"/>
    <w:rsid w:val="6BB6488D"/>
    <w:rsid w:val="6BC0391C"/>
    <w:rsid w:val="6CB51DAA"/>
    <w:rsid w:val="6D484EC2"/>
    <w:rsid w:val="6D6F4477"/>
    <w:rsid w:val="6E672B2B"/>
    <w:rsid w:val="6F2C10F2"/>
    <w:rsid w:val="6F443BEB"/>
    <w:rsid w:val="6F7922B4"/>
    <w:rsid w:val="6FB824BF"/>
    <w:rsid w:val="71E64DF1"/>
    <w:rsid w:val="7202096F"/>
    <w:rsid w:val="72F0558E"/>
    <w:rsid w:val="734811F1"/>
    <w:rsid w:val="73972F2B"/>
    <w:rsid w:val="75053FA4"/>
    <w:rsid w:val="75145B32"/>
    <w:rsid w:val="7553359A"/>
    <w:rsid w:val="757F7E3A"/>
    <w:rsid w:val="75BE3D92"/>
    <w:rsid w:val="76275612"/>
    <w:rsid w:val="76473B85"/>
    <w:rsid w:val="76E82C3E"/>
    <w:rsid w:val="76FE6E62"/>
    <w:rsid w:val="77864563"/>
    <w:rsid w:val="785724B6"/>
    <w:rsid w:val="789F6743"/>
    <w:rsid w:val="79465555"/>
    <w:rsid w:val="7A6276EA"/>
    <w:rsid w:val="7B611E5A"/>
    <w:rsid w:val="7C355CCF"/>
    <w:rsid w:val="7CE5560B"/>
    <w:rsid w:val="7D9B5E16"/>
    <w:rsid w:val="7E143686"/>
    <w:rsid w:val="7E5A55AC"/>
    <w:rsid w:val="7E7F7D0E"/>
    <w:rsid w:val="7EA247C6"/>
    <w:rsid w:val="7EDA161F"/>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42"/>
    <w:autoRedefine/>
    <w:qFormat/>
    <w:uiPriority w:val="0"/>
    <w:pPr>
      <w:keepNext/>
      <w:jc w:val="center"/>
      <w:outlineLvl w:val="0"/>
    </w:pPr>
    <w:rPr>
      <w:b/>
      <w:bCs/>
      <w:sz w:val="24"/>
      <w:szCs w:val="20"/>
    </w:rPr>
  </w:style>
  <w:style w:type="paragraph" w:styleId="8">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9">
    <w:name w:val="heading 3"/>
    <w:basedOn w:val="1"/>
    <w:next w:val="1"/>
    <w:link w:val="43"/>
    <w:qFormat/>
    <w:uiPriority w:val="0"/>
    <w:pPr>
      <w:keepNext/>
      <w:keepLines/>
      <w:spacing w:before="260" w:after="260" w:line="416" w:lineRule="auto"/>
      <w:outlineLvl w:val="2"/>
    </w:pPr>
    <w:rPr>
      <w:b/>
      <w:bCs/>
      <w:sz w:val="32"/>
      <w:szCs w:val="32"/>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lang w:val="en-US" w:eastAsia="zh-CN"/>
    </w:rPr>
  </w:style>
  <w:style w:type="paragraph" w:styleId="3">
    <w:name w:val="Body Text"/>
    <w:basedOn w:val="1"/>
    <w:next w:val="4"/>
    <w:autoRedefine/>
    <w:qFormat/>
    <w:uiPriority w:val="0"/>
    <w:pPr>
      <w:spacing w:after="120"/>
    </w:pPr>
  </w:style>
  <w:style w:type="paragraph" w:customStyle="1" w:styleId="4">
    <w:name w:val="一级条标题"/>
    <w:basedOn w:val="5"/>
    <w:next w:val="6"/>
    <w:autoRedefine/>
    <w:qFormat/>
    <w:uiPriority w:val="0"/>
    <w:pPr>
      <w:spacing w:line="240" w:lineRule="auto"/>
      <w:ind w:left="420"/>
      <w:outlineLvl w:val="2"/>
    </w:pPr>
  </w:style>
  <w:style w:type="paragraph" w:customStyle="1" w:styleId="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annotation text"/>
    <w:basedOn w:val="1"/>
    <w:autoRedefine/>
    <w:qFormat/>
    <w:uiPriority w:val="0"/>
    <w:pPr>
      <w:jc w:val="left"/>
    </w:p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Courier New"/>
      <w:szCs w:val="21"/>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9">
    <w:name w:val="Title"/>
    <w:basedOn w:val="1"/>
    <w:next w:val="1"/>
    <w:autoRedefine/>
    <w:qFormat/>
    <w:uiPriority w:val="0"/>
    <w:pPr>
      <w:spacing w:before="240" w:after="60"/>
      <w:jc w:val="center"/>
      <w:outlineLvl w:val="0"/>
    </w:pPr>
    <w:rPr>
      <w:rFonts w:ascii="Cambria" w:hAnsi="Cambria"/>
      <w:b/>
      <w:bCs/>
      <w:sz w:val="36"/>
      <w:szCs w:val="3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FollowedHyperlink"/>
    <w:basedOn w:val="22"/>
    <w:autoRedefine/>
    <w:qFormat/>
    <w:uiPriority w:val="0"/>
    <w:rPr>
      <w:rFonts w:hint="eastAsia" w:ascii="微软雅黑" w:hAnsi="微软雅黑" w:eastAsia="微软雅黑" w:cs="微软雅黑"/>
      <w:color w:val="02396F"/>
      <w:u w:val="single"/>
    </w:rPr>
  </w:style>
  <w:style w:type="character" w:styleId="26">
    <w:name w:val="Hyperlink"/>
    <w:basedOn w:val="22"/>
    <w:autoRedefine/>
    <w:qFormat/>
    <w:uiPriority w:val="0"/>
    <w:rPr>
      <w:rFonts w:ascii="微软雅黑" w:hAnsi="微软雅黑" w:eastAsia="微软雅黑" w:cs="微软雅黑"/>
      <w:color w:val="02396F"/>
      <w:u w:val="single"/>
    </w:rPr>
  </w:style>
  <w:style w:type="paragraph" w:customStyle="1" w:styleId="27">
    <w:name w:val="目录 71"/>
    <w:basedOn w:val="1"/>
    <w:next w:val="1"/>
    <w:qFormat/>
    <w:uiPriority w:val="0"/>
    <w:pPr>
      <w:ind w:left="2520"/>
    </w:pPr>
    <w:rPr>
      <w:rFonts w:ascii="Calibri"/>
    </w:rPr>
  </w:style>
  <w:style w:type="paragraph" w:customStyle="1" w:styleId="28">
    <w:name w:val="列出段落1"/>
    <w:basedOn w:val="1"/>
    <w:autoRedefine/>
    <w:qFormat/>
    <w:uiPriority w:val="0"/>
    <w:pPr>
      <w:ind w:firstLine="420" w:firstLineChars="200"/>
    </w:pPr>
    <w:rPr>
      <w:rFonts w:ascii="Calibri" w:hAnsi="Calibri"/>
      <w:szCs w:val="22"/>
    </w:rPr>
  </w:style>
  <w:style w:type="paragraph" w:customStyle="1" w:styleId="29">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WPSOffice手动目录 1"/>
    <w:autoRedefine/>
    <w:qFormat/>
    <w:uiPriority w:val="0"/>
    <w:pPr>
      <w:ind w:leftChars="0"/>
    </w:pPr>
    <w:rPr>
      <w:rFonts w:ascii="Times New Roman" w:hAnsi="Times New Roman" w:eastAsia="宋体" w:cs="Times New Roman"/>
      <w:sz w:val="20"/>
      <w:szCs w:val="20"/>
      <w:lang w:val="en-US" w:eastAsia="zh-CN" w:bidi="ar-SA"/>
    </w:rPr>
  </w:style>
  <w:style w:type="paragraph" w:customStyle="1" w:styleId="31">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p0"/>
    <w:basedOn w:val="1"/>
    <w:autoRedefine/>
    <w:qFormat/>
    <w:uiPriority w:val="0"/>
    <w:pPr>
      <w:widowControl/>
    </w:pPr>
    <w:rPr>
      <w:kern w:val="0"/>
      <w:szCs w:val="21"/>
    </w:rPr>
  </w:style>
  <w:style w:type="paragraph" w:customStyle="1" w:styleId="33">
    <w:name w:val="文章正文"/>
    <w:basedOn w:val="1"/>
    <w:autoRedefine/>
    <w:qFormat/>
    <w:uiPriority w:val="0"/>
    <w:pPr>
      <w:adjustRightInd w:val="0"/>
      <w:snapToGrid w:val="0"/>
      <w:spacing w:beforeLines="100" w:line="360" w:lineRule="auto"/>
      <w:ind w:firstLine="200" w:firstLineChars="200"/>
    </w:pPr>
    <w:rPr>
      <w:sz w:val="24"/>
      <w:szCs w:val="22"/>
    </w:rPr>
  </w:style>
  <w:style w:type="paragraph" w:customStyle="1" w:styleId="34">
    <w:name w:val="WPSOffice手动目录 2"/>
    <w:autoRedefine/>
    <w:qFormat/>
    <w:uiPriority w:val="0"/>
    <w:pPr>
      <w:ind w:leftChars="200"/>
    </w:pPr>
    <w:rPr>
      <w:rFonts w:ascii="Times New Roman" w:hAnsi="Times New Roman" w:eastAsia="宋体" w:cs="Times New Roman"/>
      <w:sz w:val="20"/>
      <w:szCs w:val="20"/>
      <w:lang w:val="en-US" w:eastAsia="zh-CN" w:bidi="ar-SA"/>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lang w:val="en-US" w:eastAsia="zh-CN" w:bidi="ar-SA"/>
    </w:rPr>
  </w:style>
  <w:style w:type="character" w:customStyle="1" w:styleId="36">
    <w:name w:val="gjfg"/>
    <w:basedOn w:val="22"/>
    <w:autoRedefine/>
    <w:qFormat/>
    <w:uiPriority w:val="0"/>
  </w:style>
  <w:style w:type="character" w:customStyle="1" w:styleId="37">
    <w:name w:val="displayarti"/>
    <w:basedOn w:val="22"/>
    <w:autoRedefine/>
    <w:qFormat/>
    <w:uiPriority w:val="0"/>
    <w:rPr>
      <w:color w:val="FFFFFF"/>
      <w:shd w:val="clear" w:color="010000" w:fill="A00000"/>
    </w:rPr>
  </w:style>
  <w:style w:type="character" w:customStyle="1" w:styleId="38">
    <w:name w:val="redfilefwwh"/>
    <w:basedOn w:val="22"/>
    <w:autoRedefine/>
    <w:qFormat/>
    <w:uiPriority w:val="0"/>
    <w:rPr>
      <w:color w:val="BA2636"/>
      <w:sz w:val="14"/>
      <w:szCs w:val="14"/>
    </w:rPr>
  </w:style>
  <w:style w:type="character" w:customStyle="1" w:styleId="39">
    <w:name w:val="redfilenumber"/>
    <w:basedOn w:val="22"/>
    <w:autoRedefine/>
    <w:qFormat/>
    <w:uiPriority w:val="0"/>
    <w:rPr>
      <w:color w:val="BA2636"/>
      <w:sz w:val="14"/>
      <w:szCs w:val="14"/>
    </w:rPr>
  </w:style>
  <w:style w:type="character" w:customStyle="1" w:styleId="40">
    <w:name w:val="qxdate"/>
    <w:basedOn w:val="22"/>
    <w:autoRedefine/>
    <w:qFormat/>
    <w:uiPriority w:val="0"/>
    <w:rPr>
      <w:color w:val="333333"/>
      <w:sz w:val="14"/>
      <w:szCs w:val="14"/>
    </w:rPr>
  </w:style>
  <w:style w:type="character" w:customStyle="1" w:styleId="41">
    <w:name w:val="cfdate"/>
    <w:basedOn w:val="22"/>
    <w:autoRedefine/>
    <w:qFormat/>
    <w:uiPriority w:val="0"/>
    <w:rPr>
      <w:color w:val="333333"/>
      <w:sz w:val="14"/>
      <w:szCs w:val="14"/>
    </w:rPr>
  </w:style>
  <w:style w:type="character" w:customStyle="1" w:styleId="42">
    <w:name w:val="标题 1 Char"/>
    <w:link w:val="7"/>
    <w:autoRedefine/>
    <w:qFormat/>
    <w:uiPriority w:val="0"/>
    <w:rPr>
      <w:b/>
      <w:bCs/>
      <w:sz w:val="24"/>
      <w:szCs w:val="20"/>
    </w:rPr>
  </w:style>
  <w:style w:type="character" w:customStyle="1" w:styleId="43">
    <w:name w:val="标题 3 Char"/>
    <w:link w:val="9"/>
    <w:autoRedefine/>
    <w:qFormat/>
    <w:uiPriority w:val="0"/>
    <w:rPr>
      <w:b/>
      <w:bCs/>
      <w:sz w:val="32"/>
      <w:szCs w:val="32"/>
    </w:rPr>
  </w:style>
  <w:style w:type="paragraph" w:customStyle="1" w:styleId="44">
    <w:name w:val="Normal_0"/>
    <w:autoRedefine/>
    <w:qFormat/>
    <w:uiPriority w:val="0"/>
    <w:rPr>
      <w:rFonts w:ascii="Times New Roman" w:hAnsi="Times New Roman" w:eastAsia="Times New Roman" w:cs="Times New Roman"/>
      <w:sz w:val="24"/>
      <w:szCs w:val="24"/>
    </w:rPr>
  </w:style>
  <w:style w:type="character" w:customStyle="1" w:styleId="45">
    <w:name w:val="目录 (5) + 非粗体"/>
    <w:autoRedefine/>
    <w:qFormat/>
    <w:uiPriority w:val="0"/>
    <w:rPr>
      <w:rFonts w:hint="eastAsia" w:ascii="宋体" w:hAnsi="宋体" w:eastAsia="宋体" w:cs="宋体"/>
      <w:b/>
      <w:bCs/>
      <w:color w:val="000000"/>
      <w:spacing w:val="0"/>
      <w:w w:val="100"/>
      <w:position w:val="0"/>
      <w:sz w:val="19"/>
      <w:szCs w:val="19"/>
      <w:u w:val="none"/>
    </w:rPr>
  </w:style>
  <w:style w:type="paragraph" w:customStyle="1" w:styleId="4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13696</Words>
  <Characters>14363</Characters>
  <Lines>0</Lines>
  <Paragraphs>0</Paragraphs>
  <TotalTime>5</TotalTime>
  <ScaleCrop>false</ScaleCrop>
  <LinksUpToDate>false</LinksUpToDate>
  <CharactersWithSpaces>15806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James</cp:lastModifiedBy>
  <cp:lastPrinted>2020-12-30T07:36:00Z</cp:lastPrinted>
  <dcterms:modified xsi:type="dcterms:W3CDTF">2024-08-07T03:52:17Z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62F77FD0FA67482A9828916CE98A3513_13</vt:lpwstr>
  </property>
</Properties>
</file>