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06010">
      <w:pPr>
        <w:pStyle w:val="14"/>
        <w:wordWrap/>
        <w:spacing w:before="157" w:beforeLines="50" w:line="560" w:lineRule="exact"/>
        <w:jc w:val="center"/>
        <w:rPr>
          <w:rFonts w:hint="eastAsia" w:ascii="隶书" w:hAnsi="华文中宋" w:eastAsia="隶书"/>
          <w:sz w:val="44"/>
          <w:szCs w:val="44"/>
        </w:rPr>
      </w:pPr>
    </w:p>
    <w:p w14:paraId="2AFEC61D">
      <w:pPr>
        <w:pStyle w:val="14"/>
        <w:wordWrap/>
        <w:spacing w:before="157" w:beforeLines="50" w:line="560" w:lineRule="exact"/>
        <w:jc w:val="center"/>
        <w:outlineLvl w:val="0"/>
        <w:rPr>
          <w:rFonts w:hint="eastAsia" w:ascii="方正小标宋简体" w:hAnsi="方正小标宋简体" w:eastAsia="方正小标宋简体" w:cs="方正小标宋简体"/>
          <w:sz w:val="44"/>
          <w:szCs w:val="44"/>
          <w:lang w:val="en-US" w:eastAsia="zh-CN"/>
        </w:rPr>
      </w:pPr>
      <w:bookmarkStart w:id="0" w:name="_Toc7042"/>
      <w:r>
        <w:rPr>
          <w:rFonts w:hint="eastAsia" w:ascii="方正小标宋简体" w:hAnsi="方正小标宋简体" w:eastAsia="方正小标宋简体" w:cs="方正小标宋简体"/>
          <w:sz w:val="44"/>
          <w:szCs w:val="44"/>
          <w:lang w:val="en-US" w:eastAsia="zh-CN"/>
        </w:rPr>
        <w:t>海西州国有资本投资运营（集团）有限公司</w:t>
      </w:r>
      <w:bookmarkEnd w:id="0"/>
    </w:p>
    <w:p w14:paraId="1E6DB229">
      <w:pPr>
        <w:pStyle w:val="14"/>
        <w:wordWrap/>
        <w:spacing w:before="157" w:beforeLines="50" w:line="560" w:lineRule="exact"/>
        <w:jc w:val="center"/>
        <w:rPr>
          <w:rFonts w:hint="eastAsia" w:ascii="隶书" w:hAnsi="华文中宋" w:eastAsia="隶书"/>
          <w:sz w:val="84"/>
          <w:szCs w:val="84"/>
        </w:rPr>
      </w:pPr>
    </w:p>
    <w:p w14:paraId="40BEF03E">
      <w:pPr>
        <w:pStyle w:val="14"/>
        <w:widowControl w:val="0"/>
        <w:wordWrap/>
        <w:adjustRightInd w:val="0"/>
        <w:snapToGrid w:val="0"/>
        <w:spacing w:before="313" w:beforeLines="100" w:line="560" w:lineRule="exact"/>
        <w:jc w:val="center"/>
        <w:textAlignment w:val="auto"/>
        <w:outlineLvl w:val="0"/>
        <w:rPr>
          <w:rFonts w:hint="eastAsia" w:ascii="方正小标宋简体" w:hAnsi="方正小标宋简体" w:eastAsia="方正小标宋简体" w:cs="方正小标宋简体"/>
          <w:sz w:val="84"/>
          <w:szCs w:val="84"/>
        </w:rPr>
      </w:pPr>
      <w:bookmarkStart w:id="1" w:name="_Toc20710"/>
      <w:r>
        <w:rPr>
          <w:rFonts w:hint="eastAsia" w:ascii="方正小标宋简体" w:hAnsi="方正小标宋简体" w:eastAsia="方正小标宋简体" w:cs="方正小标宋简体"/>
          <w:sz w:val="84"/>
          <w:szCs w:val="84"/>
        </w:rPr>
        <w:t>竞争性</w:t>
      </w:r>
      <w:r>
        <w:rPr>
          <w:rFonts w:hint="eastAsia" w:ascii="方正小标宋简体" w:hAnsi="方正小标宋简体" w:eastAsia="方正小标宋简体" w:cs="方正小标宋简体"/>
          <w:sz w:val="84"/>
          <w:szCs w:val="84"/>
          <w:lang w:val="en-US" w:eastAsia="zh-CN"/>
        </w:rPr>
        <w:t>磋商</w:t>
      </w:r>
      <w:r>
        <w:rPr>
          <w:rFonts w:hint="eastAsia" w:ascii="方正小标宋简体" w:hAnsi="方正小标宋简体" w:eastAsia="方正小标宋简体" w:cs="方正小标宋简体"/>
          <w:sz w:val="84"/>
          <w:szCs w:val="84"/>
        </w:rPr>
        <w:t>文件</w:t>
      </w:r>
      <w:bookmarkEnd w:id="1"/>
    </w:p>
    <w:p w14:paraId="248CA4F1">
      <w:pPr>
        <w:pStyle w:val="14"/>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sz w:val="84"/>
          <w:szCs w:val="84"/>
        </w:rPr>
      </w:pPr>
    </w:p>
    <w:p w14:paraId="62269016">
      <w:pPr>
        <w:pStyle w:val="14"/>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14:paraId="00B560B9">
      <w:pPr>
        <w:widowControl w:val="0"/>
        <w:wordWrap/>
        <w:adjustRightInd w:val="0"/>
        <w:snapToGrid w:val="0"/>
        <w:spacing w:before="157" w:beforeLines="50" w:line="560" w:lineRule="exact"/>
        <w:ind w:firstLine="0" w:firstLineChars="0"/>
        <w:textAlignment w:val="auto"/>
        <w:rPr>
          <w:rFonts w:hint="default" w:ascii="华文中宋" w:hAnsi="华文中宋" w:eastAsia="华文中宋" w:cs="华文中宋"/>
          <w:b w:val="0"/>
          <w:bCs/>
          <w:sz w:val="32"/>
          <w:szCs w:val="32"/>
          <w:lang w:val="en-US"/>
        </w:rPr>
      </w:pPr>
      <w:r>
        <w:rPr>
          <w:rFonts w:hint="eastAsia" w:ascii="华文中宋" w:hAnsi="华文中宋" w:eastAsia="华文中宋" w:cs="华文中宋"/>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1293495</wp:posOffset>
                </wp:positionH>
                <wp:positionV relativeFrom="paragraph">
                  <wp:posOffset>424815</wp:posOffset>
                </wp:positionV>
                <wp:extent cx="3771900" cy="6985"/>
                <wp:effectExtent l="0" t="0" r="0" b="0"/>
                <wp:wrapNone/>
                <wp:docPr id="1" name="直线 10"/>
                <wp:cNvGraphicFramePr/>
                <a:graphic xmlns:a="http://schemas.openxmlformats.org/drawingml/2006/main">
                  <a:graphicData uri="http://schemas.microsoft.com/office/word/2010/wordprocessingShape">
                    <wps:wsp>
                      <wps:cNvCnPr/>
                      <wps:spPr>
                        <a:xfrm flipV="1">
                          <a:off x="0" y="0"/>
                          <a:ext cx="3771900" cy="698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flip:y;margin-left:101.85pt;margin-top:33.45pt;height:0.55pt;width:297pt;z-index:251659264;mso-width-relative:page;mso-height-relative:page;" filled="f" stroked="t" coordsize="21600,21600" o:gfxdata="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j8QW1gAAAAkBAAAPAAAAAAAAAAEAIAAAACIAAABkcnMvZG93bnJldi54bWxQSwECFAAUAAAA&#10;CACHTuJAWTvBbPABAADpAwAADgAAAAAAAAABACAAAAAlAQAAZHJzL2Uyb0RvYy54bWxQSwUGAAAA&#10;AAYABgBZAQAAhwUAAAAA&#10;">
                <v:fill on="f" focussize="0,0"/>
                <v:stroke weight="0.25pt" color="#000000" joinstyle="round"/>
                <v:imagedata o:title=""/>
                <o:lock v:ext="edit" aspectratio="f"/>
              </v:line>
            </w:pict>
          </mc:Fallback>
        </mc:AlternateContent>
      </w:r>
      <w:r>
        <w:rPr>
          <w:rFonts w:hint="eastAsia" w:ascii="华文中宋" w:hAnsi="华文中宋" w:eastAsia="华文中宋" w:cs="华文中宋"/>
          <w:b w:val="0"/>
          <w:bCs/>
          <w:sz w:val="32"/>
          <w:szCs w:val="32"/>
        </w:rPr>
        <w:t>项目名称</w:t>
      </w:r>
      <w:r>
        <w:rPr>
          <w:rFonts w:hint="eastAsia" w:ascii="华文中宋" w:hAnsi="华文中宋" w:eastAsia="华文中宋" w:cs="华文中宋"/>
          <w:b w:val="0"/>
          <w:bCs/>
          <w:sz w:val="32"/>
          <w:szCs w:val="32"/>
          <w:lang w:eastAsia="zh-CN"/>
        </w:rPr>
        <w:t>：</w:t>
      </w:r>
      <w:r>
        <w:rPr>
          <w:rFonts w:hint="eastAsia" w:ascii="华文中宋" w:hAnsi="华文中宋" w:eastAsia="华文中宋" w:cs="华文中宋"/>
          <w:b w:val="0"/>
          <w:bCs/>
          <w:sz w:val="32"/>
          <w:szCs w:val="32"/>
          <w:lang w:val="en-US" w:eastAsia="zh-CN"/>
        </w:rPr>
        <w:t xml:space="preserve">   柴达木国际大酒店工程改造单位选聘项目</w:t>
      </w:r>
      <w:r>
        <w:rPr>
          <w:rFonts w:hint="eastAsia" w:ascii="华文中宋" w:hAnsi="华文中宋" w:eastAsia="华文中宋" w:cs="华文中宋"/>
          <w:b w:val="0"/>
          <w:bCs/>
          <w:sz w:val="32"/>
          <w:szCs w:val="32"/>
          <w:u w:val="none"/>
          <w:lang w:val="en-US" w:eastAsia="zh-CN"/>
        </w:rPr>
        <w:t xml:space="preserve">   </w:t>
      </w:r>
    </w:p>
    <w:p w14:paraId="02291A1B">
      <w:pPr>
        <w:widowControl w:val="0"/>
        <w:wordWrap/>
        <w:autoSpaceDE w:val="0"/>
        <w:autoSpaceDN w:val="0"/>
        <w:adjustRightInd w:val="0"/>
        <w:snapToGrid/>
        <w:spacing w:before="157" w:beforeLines="50" w:line="560" w:lineRule="exact"/>
        <w:ind w:firstLine="0" w:firstLineChars="0"/>
        <w:jc w:val="left"/>
        <w:textAlignment w:val="auto"/>
        <w:rPr>
          <w:rFonts w:hint="eastAsia" w:ascii="华文中宋" w:hAnsi="华文中宋" w:eastAsia="华文中宋" w:cs="华文中宋"/>
          <w:b w:val="0"/>
          <w:bCs/>
          <w:sz w:val="32"/>
          <w:szCs w:val="32"/>
        </w:rPr>
      </w:pPr>
      <w:r>
        <w:rPr>
          <w:rFonts w:hint="eastAsia" w:ascii="华文中宋" w:hAnsi="华文中宋" w:eastAsia="华文中宋" w:cs="华文中宋"/>
          <w:b w:val="0"/>
          <w:bCs/>
          <w:sz w:val="32"/>
          <w:szCs w:val="32"/>
          <w:lang w:val="en-US" w:eastAsia="zh-CN"/>
        </w:rPr>
        <w:t>项目</w:t>
      </w:r>
      <w:r>
        <w:rPr>
          <w:rFonts w:hint="eastAsia" w:ascii="华文中宋" w:hAnsi="华文中宋" w:eastAsia="华文中宋" w:cs="华文中宋"/>
          <w:b w:val="0"/>
          <w:bCs/>
          <w:sz w:val="32"/>
          <w:szCs w:val="32"/>
        </w:rPr>
        <w:t>编号：</w:t>
      </w:r>
      <w:r>
        <w:rPr>
          <w:rFonts w:hint="eastAsia" w:ascii="华文中宋" w:hAnsi="华文中宋" w:eastAsia="华文中宋" w:cs="华文中宋"/>
          <w:b w:val="0"/>
          <w:bCs/>
          <w:sz w:val="32"/>
          <w:szCs w:val="32"/>
          <w:lang w:val="en-US" w:eastAsia="zh-CN"/>
        </w:rPr>
        <w:t xml:space="preserve">   </w:t>
      </w:r>
      <w:r>
        <w:rPr>
          <w:rFonts w:hint="eastAsia" w:ascii="华文中宋" w:hAnsi="华文中宋" w:eastAsia="华文中宋" w:cs="华文中宋"/>
          <w:b w:val="0"/>
          <w:bCs/>
          <w:color w:val="000000"/>
          <w:kern w:val="0"/>
          <w:sz w:val="32"/>
          <w:szCs w:val="32"/>
          <w:u w:val="single"/>
          <w:lang w:val="en-US" w:eastAsia="zh-CN"/>
        </w:rPr>
        <w:t>海西国投-竞磋-2024-29</w:t>
      </w:r>
      <w:r>
        <w:rPr>
          <w:rFonts w:hint="eastAsia" w:ascii="华文中宋" w:hAnsi="华文中宋" w:eastAsia="华文中宋" w:cs="华文中宋"/>
          <w:b w:val="0"/>
          <w:bCs/>
          <w:sz w:val="32"/>
          <w:szCs w:val="32"/>
          <w:u w:val="single"/>
          <w:lang w:val="en-US" w:eastAsia="zh-CN"/>
        </w:rPr>
        <w:t xml:space="preserve">            </w:t>
      </w:r>
      <w:r>
        <w:rPr>
          <w:rFonts w:hint="eastAsia" w:ascii="华文中宋" w:hAnsi="华文中宋" w:eastAsia="华文中宋" w:cs="华文中宋"/>
          <w:b w:val="0"/>
          <w:bCs/>
          <w:sz w:val="32"/>
          <w:szCs w:val="32"/>
          <w:u w:val="single"/>
        </w:rPr>
        <w:t xml:space="preserve">   </w:t>
      </w:r>
    </w:p>
    <w:p w14:paraId="00575E61">
      <w:pPr>
        <w:pStyle w:val="14"/>
        <w:wordWrap/>
        <w:spacing w:before="157" w:beforeLines="50" w:line="560" w:lineRule="exact"/>
        <w:jc w:val="both"/>
        <w:outlineLvl w:val="0"/>
        <w:rPr>
          <w:rFonts w:hint="eastAsia" w:ascii="方正小标宋简体" w:hAnsi="方正小标宋简体" w:eastAsia="方正小标宋简体" w:cs="方正小标宋简体"/>
          <w:sz w:val="44"/>
          <w:szCs w:val="44"/>
          <w:lang w:val="en-US" w:eastAsia="zh-CN"/>
        </w:rPr>
      </w:pPr>
      <w:r>
        <w:rPr>
          <w:rFonts w:hint="eastAsia" w:ascii="华文中宋" w:hAnsi="华文中宋" w:eastAsia="华文中宋" w:cs="华文中宋"/>
          <w:b w:val="0"/>
          <w:bCs/>
          <w:sz w:val="32"/>
          <w:szCs w:val="32"/>
          <w:lang w:val="en-US" w:eastAsia="zh-CN"/>
        </w:rPr>
        <w:t xml:space="preserve">招 标 </w:t>
      </w:r>
      <w:r>
        <w:rPr>
          <w:rFonts w:hint="eastAsia" w:ascii="华文中宋" w:hAnsi="华文中宋" w:eastAsia="华文中宋" w:cs="华文中宋"/>
          <w:b w:val="0"/>
          <w:bCs/>
          <w:sz w:val="32"/>
          <w:szCs w:val="32"/>
        </w:rPr>
        <w:t>人：</w:t>
      </w:r>
      <w:r>
        <w:rPr>
          <w:rFonts w:hint="eastAsia" w:ascii="华文中宋" w:hAnsi="华文中宋" w:eastAsia="华文中宋" w:cs="华文中宋"/>
          <w:b w:val="0"/>
          <w:bCs/>
          <w:sz w:val="32"/>
          <w:szCs w:val="32"/>
          <w:lang w:val="en-US" w:eastAsia="zh-CN"/>
        </w:rPr>
        <w:t xml:space="preserve">   </w:t>
      </w:r>
      <w:r>
        <w:rPr>
          <w:rFonts w:hint="eastAsia" w:ascii="华文中宋" w:hAnsi="华文中宋" w:eastAsia="华文中宋" w:cs="华文中宋"/>
          <w:b w:val="0"/>
          <w:bCs/>
          <w:color w:val="000000"/>
          <w:kern w:val="0"/>
          <w:sz w:val="32"/>
          <w:szCs w:val="32"/>
          <w:u w:val="single"/>
          <w:lang w:val="en-US" w:eastAsia="zh-CN" w:bidi="ar-SA"/>
        </w:rPr>
        <w:t>海西州国有资本投资运营（集团）有限公司</w:t>
      </w:r>
    </w:p>
    <w:p w14:paraId="7A239A85">
      <w:pPr>
        <w:wordWrap/>
        <w:autoSpaceDE w:val="0"/>
        <w:autoSpaceDN w:val="0"/>
        <w:adjustRightInd w:val="0"/>
        <w:spacing w:before="157" w:beforeLines="50" w:line="560" w:lineRule="exact"/>
        <w:jc w:val="left"/>
        <w:rPr>
          <w:rFonts w:hint="eastAsia" w:ascii="宋体" w:hAnsi="宋体" w:cs="宋体"/>
          <w:color w:val="000000"/>
          <w:kern w:val="0"/>
          <w:sz w:val="30"/>
          <w:szCs w:val="30"/>
          <w:lang w:val="zh-CN"/>
        </w:rPr>
      </w:pPr>
    </w:p>
    <w:p w14:paraId="4FFEE87F">
      <w:pPr>
        <w:wordWrap/>
        <w:autoSpaceDE w:val="0"/>
        <w:autoSpaceDN w:val="0"/>
        <w:adjustRightInd w:val="0"/>
        <w:spacing w:before="157" w:beforeLines="50" w:line="560" w:lineRule="exact"/>
        <w:jc w:val="left"/>
        <w:rPr>
          <w:rFonts w:hint="eastAsia" w:ascii="宋体" w:hAnsi="宋体" w:cs="宋体"/>
          <w:color w:val="000000"/>
          <w:kern w:val="0"/>
          <w:sz w:val="30"/>
          <w:szCs w:val="30"/>
          <w:lang w:val="zh-CN"/>
        </w:rPr>
      </w:pPr>
    </w:p>
    <w:p w14:paraId="2B1B8A5A">
      <w:pPr>
        <w:wordWrap/>
        <w:autoSpaceDE w:val="0"/>
        <w:autoSpaceDN w:val="0"/>
        <w:adjustRightInd w:val="0"/>
        <w:spacing w:before="157" w:beforeLines="50" w:line="560" w:lineRule="exact"/>
        <w:jc w:val="left"/>
        <w:rPr>
          <w:rFonts w:hint="eastAsia" w:ascii="宋体" w:hAnsi="宋体" w:cs="宋体"/>
          <w:color w:val="000000"/>
          <w:kern w:val="0"/>
          <w:sz w:val="30"/>
          <w:szCs w:val="30"/>
          <w:lang w:val="zh-CN"/>
        </w:rPr>
      </w:pPr>
    </w:p>
    <w:p w14:paraId="2DF28BF3">
      <w:pPr>
        <w:wordWrap/>
        <w:autoSpaceDE w:val="0"/>
        <w:autoSpaceDN w:val="0"/>
        <w:adjustRightInd w:val="0"/>
        <w:spacing w:before="157" w:beforeLines="50" w:line="560" w:lineRule="exact"/>
        <w:jc w:val="left"/>
        <w:rPr>
          <w:rFonts w:hint="eastAsia" w:ascii="华文中宋" w:hAnsi="华文中宋" w:eastAsia="华文中宋" w:cs="华文中宋"/>
          <w:color w:val="000000"/>
          <w:kern w:val="0"/>
          <w:sz w:val="44"/>
          <w:szCs w:val="44"/>
          <w:lang w:val="zh-CN"/>
        </w:rPr>
      </w:pPr>
    </w:p>
    <w:p w14:paraId="4A40A522">
      <w:pPr>
        <w:wordWrap/>
        <w:autoSpaceDE w:val="0"/>
        <w:autoSpaceDN w:val="0"/>
        <w:adjustRightInd w:val="0"/>
        <w:spacing w:before="157" w:beforeLines="50" w:line="560" w:lineRule="exact"/>
        <w:jc w:val="left"/>
        <w:rPr>
          <w:rFonts w:hint="eastAsia" w:ascii="华文中宋" w:hAnsi="华文中宋" w:eastAsia="华文中宋" w:cs="华文中宋"/>
          <w:color w:val="000000"/>
          <w:kern w:val="0"/>
          <w:sz w:val="44"/>
          <w:szCs w:val="44"/>
          <w:lang w:val="zh-CN"/>
        </w:rPr>
      </w:pPr>
    </w:p>
    <w:p w14:paraId="496D52CE">
      <w:pPr>
        <w:wordWrap/>
        <w:autoSpaceDE w:val="0"/>
        <w:autoSpaceDN w:val="0"/>
        <w:adjustRightInd w:val="0"/>
        <w:spacing w:before="157" w:beforeLines="50" w:line="560" w:lineRule="exact"/>
        <w:jc w:val="left"/>
        <w:rPr>
          <w:rFonts w:hint="eastAsia" w:ascii="华文中宋" w:hAnsi="华文中宋" w:eastAsia="华文中宋" w:cs="华文中宋"/>
          <w:color w:val="000000"/>
          <w:kern w:val="0"/>
          <w:sz w:val="44"/>
          <w:szCs w:val="44"/>
          <w:lang w:val="zh-CN"/>
        </w:rPr>
      </w:pPr>
    </w:p>
    <w:p w14:paraId="6AFCF27E">
      <w:pPr>
        <w:wordWrap/>
        <w:autoSpaceDE w:val="0"/>
        <w:autoSpaceDN w:val="0"/>
        <w:adjustRightInd w:val="0"/>
        <w:spacing w:before="157" w:beforeLines="50" w:line="560" w:lineRule="exact"/>
        <w:jc w:val="left"/>
        <w:rPr>
          <w:rFonts w:hint="eastAsia" w:ascii="华文中宋" w:hAnsi="华文中宋" w:eastAsia="华文中宋" w:cs="华文中宋"/>
          <w:color w:val="000000"/>
          <w:kern w:val="0"/>
          <w:sz w:val="44"/>
          <w:szCs w:val="44"/>
          <w:lang w:val="zh-CN"/>
        </w:rPr>
      </w:pPr>
    </w:p>
    <w:p w14:paraId="5DFC3805">
      <w:pPr>
        <w:wordWrap/>
        <w:autoSpaceDE w:val="0"/>
        <w:autoSpaceDN w:val="0"/>
        <w:adjustRightInd w:val="0"/>
        <w:spacing w:before="157" w:beforeLines="50" w:line="560" w:lineRule="exact"/>
        <w:jc w:val="left"/>
        <w:rPr>
          <w:rFonts w:hint="eastAsia" w:ascii="华文中宋" w:hAnsi="华文中宋" w:eastAsia="华文中宋" w:cs="华文中宋"/>
          <w:color w:val="000000"/>
          <w:kern w:val="0"/>
          <w:sz w:val="44"/>
          <w:szCs w:val="44"/>
          <w:lang w:val="zh-CN"/>
        </w:rPr>
      </w:pPr>
    </w:p>
    <w:p w14:paraId="42528D16">
      <w:pPr>
        <w:spacing w:before="0" w:beforeLines="0" w:after="0" w:afterLines="0" w:line="240" w:lineRule="auto"/>
        <w:ind w:left="0" w:leftChars="0" w:right="0" w:firstLine="0" w:firstLineChars="0"/>
        <w:jc w:val="center"/>
      </w:pPr>
      <w:r>
        <w:rPr>
          <w:rFonts w:hint="eastAsia" w:ascii="华文中宋" w:hAnsi="华文中宋" w:eastAsia="华文中宋" w:cs="华文中宋"/>
          <w:sz w:val="44"/>
          <w:szCs w:val="44"/>
        </w:rPr>
        <w:t>目</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录</w:t>
      </w:r>
    </w:p>
    <w:p w14:paraId="42041395">
      <w:pPr>
        <w:pStyle w:val="17"/>
        <w:tabs>
          <w:tab w:val="right" w:leader="dot" w:pos="8958"/>
        </w:tabs>
      </w:pPr>
      <w:r>
        <w:rPr>
          <w:sz w:val="32"/>
          <w:szCs w:val="32"/>
        </w:rPr>
        <w:fldChar w:fldCharType="begin"/>
      </w:r>
      <w:r>
        <w:rPr>
          <w:sz w:val="32"/>
          <w:szCs w:val="32"/>
        </w:rPr>
        <w:instrText xml:space="preserve">TOC \o "1-3" \h \u </w:instrText>
      </w:r>
      <w:r>
        <w:rPr>
          <w:sz w:val="32"/>
          <w:szCs w:val="32"/>
        </w:rPr>
        <w:fldChar w:fldCharType="separate"/>
      </w:r>
      <w:r>
        <w:rPr>
          <w:szCs w:val="32"/>
        </w:rPr>
        <w:fldChar w:fldCharType="begin"/>
      </w:r>
      <w:r>
        <w:rPr>
          <w:szCs w:val="32"/>
        </w:rPr>
        <w:instrText xml:space="preserve"> HYPERLINK \l _Toc7042 </w:instrText>
      </w:r>
      <w:r>
        <w:rPr>
          <w:szCs w:val="32"/>
        </w:rPr>
        <w:fldChar w:fldCharType="separate"/>
      </w:r>
      <w:r>
        <w:rPr>
          <w:rFonts w:hint="eastAsia" w:ascii="方正小标宋简体" w:hAnsi="方正小标宋简体" w:eastAsia="方正小标宋简体" w:cs="方正小标宋简体"/>
          <w:szCs w:val="44"/>
          <w:lang w:val="en-US" w:eastAsia="zh-CN"/>
        </w:rPr>
        <w:t>海西州国有资本投资运营（集团）有限公司</w:t>
      </w:r>
      <w:r>
        <w:tab/>
      </w:r>
      <w:r>
        <w:fldChar w:fldCharType="begin"/>
      </w:r>
      <w:r>
        <w:instrText xml:space="preserve"> PAGEREF _Toc7042 \h </w:instrText>
      </w:r>
      <w:r>
        <w:fldChar w:fldCharType="separate"/>
      </w:r>
      <w:r>
        <w:t>1</w:t>
      </w:r>
      <w:r>
        <w:fldChar w:fldCharType="end"/>
      </w:r>
      <w:r>
        <w:rPr>
          <w:szCs w:val="32"/>
        </w:rPr>
        <w:fldChar w:fldCharType="end"/>
      </w:r>
    </w:p>
    <w:p w14:paraId="22FFA07F">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_Toc20710 </w:instrText>
      </w:r>
      <w:r>
        <w:rPr>
          <w:rFonts w:ascii="Times New Roman" w:hAnsi="Times New Roman" w:eastAsia="宋体" w:cs="Times New Roman"/>
          <w:kern w:val="2"/>
          <w:szCs w:val="32"/>
          <w:lang w:val="en-US" w:eastAsia="zh-CN" w:bidi="ar-SA"/>
        </w:rPr>
        <w:fldChar w:fldCharType="separate"/>
      </w:r>
      <w:r>
        <w:rPr>
          <w:rFonts w:hint="eastAsia" w:ascii="方正小标宋简体" w:hAnsi="方正小标宋简体" w:eastAsia="方正小标宋简体" w:cs="方正小标宋简体"/>
          <w:szCs w:val="84"/>
        </w:rPr>
        <w:t>竞争性</w:t>
      </w:r>
      <w:r>
        <w:rPr>
          <w:rFonts w:hint="eastAsia" w:ascii="方正小标宋简体" w:hAnsi="方正小标宋简体" w:eastAsia="方正小标宋简体" w:cs="方正小标宋简体"/>
          <w:szCs w:val="84"/>
          <w:lang w:val="en-US" w:eastAsia="zh-CN"/>
        </w:rPr>
        <w:t>磋商</w:t>
      </w:r>
      <w:r>
        <w:rPr>
          <w:rFonts w:hint="eastAsia" w:ascii="方正小标宋简体" w:hAnsi="方正小标宋简体" w:eastAsia="方正小标宋简体" w:cs="方正小标宋简体"/>
          <w:szCs w:val="84"/>
        </w:rPr>
        <w:t>文件</w:t>
      </w:r>
      <w:r>
        <w:tab/>
      </w:r>
      <w:r>
        <w:fldChar w:fldCharType="begin"/>
      </w:r>
      <w:r>
        <w:instrText xml:space="preserve"> PAGEREF _Toc20710 \h </w:instrText>
      </w:r>
      <w:r>
        <w:fldChar w:fldCharType="separate"/>
      </w:r>
      <w:r>
        <w:t>1</w:t>
      </w:r>
      <w:r>
        <w:fldChar w:fldCharType="end"/>
      </w:r>
      <w:r>
        <w:rPr>
          <w:rFonts w:ascii="Times New Roman" w:hAnsi="Times New Roman" w:eastAsia="宋体" w:cs="Times New Roman"/>
          <w:kern w:val="2"/>
          <w:szCs w:val="32"/>
          <w:lang w:val="en-US" w:eastAsia="zh-CN" w:bidi="ar-SA"/>
        </w:rPr>
        <w:fldChar w:fldCharType="end"/>
      </w:r>
    </w:p>
    <w:p w14:paraId="0CCDD667">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_Toc2998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val="en-US" w:eastAsia="zh-CN"/>
        </w:rPr>
        <w:t>第一部分 谈判须知前附表</w:t>
      </w:r>
      <w:r>
        <w:tab/>
      </w:r>
      <w:r>
        <w:fldChar w:fldCharType="begin"/>
      </w:r>
      <w:r>
        <w:instrText xml:space="preserve"> PAGEREF _Toc2998 \h </w:instrText>
      </w:r>
      <w:r>
        <w:fldChar w:fldCharType="separate"/>
      </w:r>
      <w:r>
        <w:t>3</w:t>
      </w:r>
      <w:r>
        <w:fldChar w:fldCharType="end"/>
      </w:r>
      <w:r>
        <w:rPr>
          <w:rFonts w:ascii="Times New Roman" w:hAnsi="Times New Roman" w:eastAsia="宋体" w:cs="Times New Roman"/>
          <w:kern w:val="2"/>
          <w:szCs w:val="32"/>
          <w:lang w:val="en-US" w:eastAsia="zh-CN" w:bidi="ar-SA"/>
        </w:rPr>
        <w:fldChar w:fldCharType="end"/>
      </w:r>
    </w:p>
    <w:p w14:paraId="0FC6BCC8">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_Toc3582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val="en-US" w:eastAsia="zh-CN"/>
        </w:rPr>
        <w:t>第二部分  谈判须知</w:t>
      </w:r>
      <w:r>
        <w:tab/>
      </w:r>
      <w:r>
        <w:fldChar w:fldCharType="begin"/>
      </w:r>
      <w:r>
        <w:instrText xml:space="preserve"> PAGEREF _Toc3582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73A5F2AE">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_Toc25579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一、说明</w:t>
      </w:r>
      <w:r>
        <w:tab/>
      </w:r>
      <w:r>
        <w:fldChar w:fldCharType="begin"/>
      </w:r>
      <w:r>
        <w:instrText xml:space="preserve"> PAGEREF _Toc25579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3B6BAC22">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_Toc11521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1.适用范围</w:t>
      </w:r>
      <w:r>
        <w:tab/>
      </w:r>
      <w:r>
        <w:fldChar w:fldCharType="begin"/>
      </w:r>
      <w:r>
        <w:instrText xml:space="preserve"> PAGEREF _Toc11521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02AC2114">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_Toc3483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2.招标人</w:t>
      </w:r>
      <w:r>
        <w:tab/>
      </w:r>
      <w:r>
        <w:fldChar w:fldCharType="begin"/>
      </w:r>
      <w:r>
        <w:instrText xml:space="preserve"> PAGEREF _Toc3483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4EC32EDB">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_Toc8939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3.竞标人的资格要求</w:t>
      </w:r>
      <w:r>
        <w:tab/>
      </w:r>
      <w:r>
        <w:fldChar w:fldCharType="begin"/>
      </w:r>
      <w:r>
        <w:instrText xml:space="preserve"> PAGEREF _Toc8939 \h </w:instrText>
      </w:r>
      <w:r>
        <w:fldChar w:fldCharType="separate"/>
      </w:r>
      <w:r>
        <w:t>8</w:t>
      </w:r>
      <w:r>
        <w:fldChar w:fldCharType="end"/>
      </w:r>
      <w:r>
        <w:rPr>
          <w:rFonts w:ascii="Times New Roman" w:hAnsi="Times New Roman" w:eastAsia="宋体" w:cs="Times New Roman"/>
          <w:kern w:val="2"/>
          <w:szCs w:val="32"/>
          <w:lang w:val="en-US" w:eastAsia="zh-CN" w:bidi="ar-SA"/>
        </w:rPr>
        <w:fldChar w:fldCharType="end"/>
      </w:r>
    </w:p>
    <w:p w14:paraId="1C44A122">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_Toc15758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4.谈判费用</w:t>
      </w:r>
      <w:r>
        <w:tab/>
      </w:r>
      <w:r>
        <w:fldChar w:fldCharType="begin"/>
      </w:r>
      <w:r>
        <w:instrText xml:space="preserve"> PAGEREF _Toc15758 \h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14:paraId="0681A5E0">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_Toc7712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二、谈判文件</w:t>
      </w:r>
      <w:r>
        <w:tab/>
      </w:r>
      <w:r>
        <w:fldChar w:fldCharType="begin"/>
      </w:r>
      <w:r>
        <w:instrText xml:space="preserve"> PAGEREF _Toc7712 \h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14:paraId="132D385A">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_Toc27245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5.谈判文件的组成</w:t>
      </w:r>
      <w:r>
        <w:tab/>
      </w:r>
      <w:r>
        <w:fldChar w:fldCharType="begin"/>
      </w:r>
      <w:r>
        <w:instrText xml:space="preserve"> PAGEREF _Toc27245 \h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14:paraId="3FEA269A">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_Toc32040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6.谈判文件的澄清</w:t>
      </w:r>
      <w:r>
        <w:rPr>
          <w:rFonts w:hint="eastAsia" w:ascii="楷体_GB2312" w:hAnsi="楷体_GB2312" w:eastAsia="楷体_GB2312" w:cs="楷体_GB2312"/>
          <w:bCs/>
          <w:kern w:val="2"/>
          <w:szCs w:val="32"/>
          <w:lang w:val="zh-CN" w:eastAsia="zh-CN" w:bidi="ar-SA"/>
        </w:rPr>
        <w:t>或者</w:t>
      </w:r>
      <w:r>
        <w:rPr>
          <w:rFonts w:hint="eastAsia" w:ascii="楷体_GB2312" w:hAnsi="楷体_GB2312" w:eastAsia="楷体_GB2312" w:cs="楷体_GB2312"/>
          <w:bCs/>
          <w:kern w:val="2"/>
          <w:szCs w:val="32"/>
          <w:lang w:val="en-US" w:eastAsia="zh-CN" w:bidi="ar-SA"/>
        </w:rPr>
        <w:t>修改</w:t>
      </w:r>
      <w:r>
        <w:tab/>
      </w:r>
      <w:r>
        <w:fldChar w:fldCharType="begin"/>
      </w:r>
      <w:r>
        <w:instrText xml:space="preserve"> PAGEREF _Toc32040 \h </w:instrText>
      </w:r>
      <w:r>
        <w:fldChar w:fldCharType="separate"/>
      </w:r>
      <w:r>
        <w:t>9</w:t>
      </w:r>
      <w:r>
        <w:fldChar w:fldCharType="end"/>
      </w:r>
      <w:r>
        <w:rPr>
          <w:rFonts w:ascii="Times New Roman" w:hAnsi="Times New Roman" w:eastAsia="宋体" w:cs="Times New Roman"/>
          <w:kern w:val="2"/>
          <w:szCs w:val="32"/>
          <w:lang w:val="en-US" w:eastAsia="zh-CN" w:bidi="ar-SA"/>
        </w:rPr>
        <w:fldChar w:fldCharType="end"/>
      </w:r>
    </w:p>
    <w:p w14:paraId="4E102125">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_Toc22786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7.谈判文件的询问或质疑</w:t>
      </w:r>
      <w:r>
        <w:tab/>
      </w:r>
      <w:r>
        <w:fldChar w:fldCharType="begin"/>
      </w:r>
      <w:r>
        <w:instrText xml:space="preserve"> PAGEREF _Toc22786 \h </w:instrText>
      </w:r>
      <w:r>
        <w:fldChar w:fldCharType="separate"/>
      </w:r>
      <w:r>
        <w:t>10</w:t>
      </w:r>
      <w:r>
        <w:fldChar w:fldCharType="end"/>
      </w:r>
      <w:r>
        <w:rPr>
          <w:rFonts w:ascii="Times New Roman" w:hAnsi="Times New Roman" w:eastAsia="宋体" w:cs="Times New Roman"/>
          <w:kern w:val="2"/>
          <w:szCs w:val="32"/>
          <w:lang w:val="en-US" w:eastAsia="zh-CN" w:bidi="ar-SA"/>
        </w:rPr>
        <w:fldChar w:fldCharType="end"/>
      </w:r>
    </w:p>
    <w:p w14:paraId="6386CE93">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_Toc22661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kern w:val="2"/>
          <w:szCs w:val="32"/>
          <w:lang w:val="en-US" w:eastAsia="zh-CN" w:bidi="ar-SA"/>
        </w:rPr>
        <w:t>三、响应文件</w:t>
      </w:r>
      <w:r>
        <w:tab/>
      </w:r>
      <w:r>
        <w:fldChar w:fldCharType="begin"/>
      </w:r>
      <w:r>
        <w:instrText xml:space="preserve"> PAGEREF _Toc22661 \h </w:instrText>
      </w:r>
      <w:r>
        <w:fldChar w:fldCharType="separate"/>
      </w:r>
      <w:r>
        <w:t>10</w:t>
      </w:r>
      <w:r>
        <w:fldChar w:fldCharType="end"/>
      </w:r>
      <w:r>
        <w:rPr>
          <w:rFonts w:ascii="Times New Roman" w:hAnsi="Times New Roman" w:eastAsia="宋体" w:cs="Times New Roman"/>
          <w:kern w:val="2"/>
          <w:szCs w:val="32"/>
          <w:lang w:val="en-US" w:eastAsia="zh-CN" w:bidi="ar-SA"/>
        </w:rPr>
        <w:fldChar w:fldCharType="end"/>
      </w:r>
    </w:p>
    <w:p w14:paraId="4B703FC9">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_Toc29496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8.一般要求</w:t>
      </w:r>
      <w:r>
        <w:tab/>
      </w:r>
      <w:r>
        <w:fldChar w:fldCharType="begin"/>
      </w:r>
      <w:r>
        <w:instrText xml:space="preserve"> PAGEREF _Toc29496 \h </w:instrText>
      </w:r>
      <w:r>
        <w:fldChar w:fldCharType="separate"/>
      </w:r>
      <w:r>
        <w:t>10</w:t>
      </w:r>
      <w:r>
        <w:fldChar w:fldCharType="end"/>
      </w:r>
      <w:r>
        <w:rPr>
          <w:rFonts w:ascii="Times New Roman" w:hAnsi="Times New Roman" w:eastAsia="宋体" w:cs="Times New Roman"/>
          <w:kern w:val="2"/>
          <w:szCs w:val="32"/>
          <w:lang w:val="en-US" w:eastAsia="zh-CN" w:bidi="ar-SA"/>
        </w:rPr>
        <w:fldChar w:fldCharType="end"/>
      </w:r>
    </w:p>
    <w:p w14:paraId="497A32D8">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_Toc8222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9.报价要求</w:t>
      </w:r>
      <w:r>
        <w:tab/>
      </w:r>
      <w:r>
        <w:fldChar w:fldCharType="begin"/>
      </w:r>
      <w:r>
        <w:instrText xml:space="preserve"> PAGEREF _Toc8222 \h </w:instrText>
      </w:r>
      <w:r>
        <w:fldChar w:fldCharType="separate"/>
      </w:r>
      <w:r>
        <w:t>11</w:t>
      </w:r>
      <w:r>
        <w:fldChar w:fldCharType="end"/>
      </w:r>
      <w:r>
        <w:rPr>
          <w:rFonts w:ascii="Times New Roman" w:hAnsi="Times New Roman" w:eastAsia="宋体" w:cs="Times New Roman"/>
          <w:kern w:val="2"/>
          <w:szCs w:val="32"/>
          <w:lang w:val="en-US" w:eastAsia="zh-CN" w:bidi="ar-SA"/>
        </w:rPr>
        <w:fldChar w:fldCharType="end"/>
      </w:r>
    </w:p>
    <w:p w14:paraId="1EEC755A">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_Toc2137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10.保证金</w:t>
      </w:r>
      <w:r>
        <w:tab/>
      </w:r>
      <w:r>
        <w:fldChar w:fldCharType="begin"/>
      </w:r>
      <w:r>
        <w:instrText xml:space="preserve"> PAGEREF _Toc2137 \h </w:instrText>
      </w:r>
      <w:r>
        <w:fldChar w:fldCharType="separate"/>
      </w:r>
      <w:r>
        <w:t>12</w:t>
      </w:r>
      <w:r>
        <w:fldChar w:fldCharType="end"/>
      </w:r>
      <w:r>
        <w:rPr>
          <w:rFonts w:ascii="Times New Roman" w:hAnsi="Times New Roman" w:eastAsia="宋体" w:cs="Times New Roman"/>
          <w:kern w:val="2"/>
          <w:szCs w:val="32"/>
          <w:lang w:val="en-US" w:eastAsia="zh-CN" w:bidi="ar-SA"/>
        </w:rPr>
        <w:fldChar w:fldCharType="end"/>
      </w:r>
    </w:p>
    <w:p w14:paraId="0841FD67">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_Toc4368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11.响应文件的组成</w:t>
      </w:r>
      <w:r>
        <w:tab/>
      </w:r>
      <w:r>
        <w:fldChar w:fldCharType="begin"/>
      </w:r>
      <w:r>
        <w:instrText xml:space="preserve"> PAGEREF _Toc4368 \h </w:instrText>
      </w:r>
      <w:r>
        <w:fldChar w:fldCharType="separate"/>
      </w:r>
      <w:r>
        <w:t>13</w:t>
      </w:r>
      <w:r>
        <w:fldChar w:fldCharType="end"/>
      </w:r>
      <w:r>
        <w:rPr>
          <w:rFonts w:ascii="Times New Roman" w:hAnsi="Times New Roman" w:eastAsia="宋体" w:cs="Times New Roman"/>
          <w:kern w:val="2"/>
          <w:szCs w:val="32"/>
          <w:lang w:val="en-US" w:eastAsia="zh-CN" w:bidi="ar-SA"/>
        </w:rPr>
        <w:fldChar w:fldCharType="end"/>
      </w:r>
    </w:p>
    <w:p w14:paraId="3574EDAB">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_Toc18471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12.响应文件有效期</w:t>
      </w:r>
      <w:r>
        <w:tab/>
      </w:r>
      <w:r>
        <w:fldChar w:fldCharType="begin"/>
      </w:r>
      <w:r>
        <w:instrText xml:space="preserve"> PAGEREF _Toc18471 \h </w:instrText>
      </w:r>
      <w:r>
        <w:fldChar w:fldCharType="separate"/>
      </w:r>
      <w:r>
        <w:t>14</w:t>
      </w:r>
      <w:r>
        <w:fldChar w:fldCharType="end"/>
      </w:r>
      <w:r>
        <w:rPr>
          <w:rFonts w:ascii="Times New Roman" w:hAnsi="Times New Roman" w:eastAsia="宋体" w:cs="Times New Roman"/>
          <w:kern w:val="2"/>
          <w:szCs w:val="32"/>
          <w:lang w:val="en-US" w:eastAsia="zh-CN" w:bidi="ar-SA"/>
        </w:rPr>
        <w:fldChar w:fldCharType="end"/>
      </w:r>
    </w:p>
    <w:p w14:paraId="6382D95E">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_Toc11996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13.响应文件的签署及规定</w:t>
      </w:r>
      <w:r>
        <w:tab/>
      </w:r>
      <w:r>
        <w:fldChar w:fldCharType="begin"/>
      </w:r>
      <w:r>
        <w:instrText xml:space="preserve"> PAGEREF _Toc11996 \h </w:instrText>
      </w:r>
      <w:r>
        <w:fldChar w:fldCharType="separate"/>
      </w:r>
      <w:r>
        <w:t>14</w:t>
      </w:r>
      <w:r>
        <w:fldChar w:fldCharType="end"/>
      </w:r>
      <w:r>
        <w:rPr>
          <w:rFonts w:ascii="Times New Roman" w:hAnsi="Times New Roman" w:eastAsia="宋体" w:cs="Times New Roman"/>
          <w:kern w:val="2"/>
          <w:szCs w:val="32"/>
          <w:lang w:val="en-US" w:eastAsia="zh-CN" w:bidi="ar-SA"/>
        </w:rPr>
        <w:fldChar w:fldCharType="end"/>
      </w:r>
    </w:p>
    <w:p w14:paraId="2CF72822">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_Toc6075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四、响应文件的递交</w:t>
      </w:r>
      <w:r>
        <w:tab/>
      </w:r>
      <w:r>
        <w:fldChar w:fldCharType="begin"/>
      </w:r>
      <w:r>
        <w:instrText xml:space="preserve"> PAGEREF _Toc6075 \h </w:instrText>
      </w:r>
      <w:r>
        <w:fldChar w:fldCharType="separate"/>
      </w:r>
      <w:r>
        <w:t>15</w:t>
      </w:r>
      <w:r>
        <w:fldChar w:fldCharType="end"/>
      </w:r>
      <w:r>
        <w:rPr>
          <w:rFonts w:ascii="Times New Roman" w:hAnsi="Times New Roman" w:eastAsia="宋体" w:cs="Times New Roman"/>
          <w:kern w:val="2"/>
          <w:szCs w:val="32"/>
          <w:lang w:val="en-US" w:eastAsia="zh-CN" w:bidi="ar-SA"/>
        </w:rPr>
        <w:fldChar w:fldCharType="end"/>
      </w:r>
    </w:p>
    <w:p w14:paraId="7080BC8C">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_Toc856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14.响应文件的密封和标记</w:t>
      </w:r>
      <w:r>
        <w:tab/>
      </w:r>
      <w:r>
        <w:fldChar w:fldCharType="begin"/>
      </w:r>
      <w:r>
        <w:instrText xml:space="preserve"> PAGEREF _Toc856 \h </w:instrText>
      </w:r>
      <w:r>
        <w:fldChar w:fldCharType="separate"/>
      </w:r>
      <w:r>
        <w:t>15</w:t>
      </w:r>
      <w:r>
        <w:fldChar w:fldCharType="end"/>
      </w:r>
      <w:r>
        <w:rPr>
          <w:rFonts w:ascii="Times New Roman" w:hAnsi="Times New Roman" w:eastAsia="宋体" w:cs="Times New Roman"/>
          <w:kern w:val="2"/>
          <w:szCs w:val="32"/>
          <w:lang w:val="en-US" w:eastAsia="zh-CN" w:bidi="ar-SA"/>
        </w:rPr>
        <w:fldChar w:fldCharType="end"/>
      </w:r>
    </w:p>
    <w:p w14:paraId="002200B0">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_Toc5706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15.响应文件的递交与接收</w:t>
      </w:r>
      <w:r>
        <w:tab/>
      </w:r>
      <w:r>
        <w:fldChar w:fldCharType="begin"/>
      </w:r>
      <w:r>
        <w:instrText xml:space="preserve"> PAGEREF _Toc5706 \h </w:instrText>
      </w:r>
      <w:r>
        <w:fldChar w:fldCharType="separate"/>
      </w:r>
      <w:r>
        <w:t>15</w:t>
      </w:r>
      <w:r>
        <w:fldChar w:fldCharType="end"/>
      </w:r>
      <w:r>
        <w:rPr>
          <w:rFonts w:ascii="Times New Roman" w:hAnsi="Times New Roman" w:eastAsia="宋体" w:cs="Times New Roman"/>
          <w:kern w:val="2"/>
          <w:szCs w:val="32"/>
          <w:lang w:val="en-US" w:eastAsia="zh-CN" w:bidi="ar-SA"/>
        </w:rPr>
        <w:fldChar w:fldCharType="end"/>
      </w:r>
    </w:p>
    <w:p w14:paraId="3F42D560">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_Toc17093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16.响应文件的</w:t>
      </w:r>
      <w:r>
        <w:rPr>
          <w:rFonts w:hint="eastAsia" w:ascii="楷体_GB2312" w:hAnsi="楷体_GB2312" w:eastAsia="楷体_GB2312" w:cs="楷体_GB2312"/>
          <w:bCs/>
          <w:kern w:val="2"/>
          <w:szCs w:val="32"/>
          <w:lang w:val="zh-CN" w:eastAsia="zh-CN" w:bidi="ar-SA"/>
        </w:rPr>
        <w:t>补充、修改或者撤回</w:t>
      </w:r>
      <w:r>
        <w:tab/>
      </w:r>
      <w:r>
        <w:fldChar w:fldCharType="begin"/>
      </w:r>
      <w:r>
        <w:instrText xml:space="preserve"> PAGEREF _Toc17093 \h </w:instrText>
      </w:r>
      <w:r>
        <w:fldChar w:fldCharType="separate"/>
      </w:r>
      <w:r>
        <w:t>16</w:t>
      </w:r>
      <w:r>
        <w:fldChar w:fldCharType="end"/>
      </w:r>
      <w:r>
        <w:rPr>
          <w:rFonts w:ascii="Times New Roman" w:hAnsi="Times New Roman" w:eastAsia="宋体" w:cs="Times New Roman"/>
          <w:kern w:val="2"/>
          <w:szCs w:val="32"/>
          <w:lang w:val="en-US" w:eastAsia="zh-CN" w:bidi="ar-SA"/>
        </w:rPr>
        <w:fldChar w:fldCharType="end"/>
      </w:r>
    </w:p>
    <w:p w14:paraId="08BBC105">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_Toc6477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lang w:val="en-US" w:eastAsia="zh-CN" w:bidi="ar-SA"/>
        </w:rPr>
        <w:t>五、响应文件的评审与谈判</w:t>
      </w:r>
      <w:r>
        <w:tab/>
      </w:r>
      <w:r>
        <w:fldChar w:fldCharType="begin"/>
      </w:r>
      <w:r>
        <w:instrText xml:space="preserve"> PAGEREF _Toc6477 \h </w:instrText>
      </w:r>
      <w:r>
        <w:fldChar w:fldCharType="separate"/>
      </w:r>
      <w:r>
        <w:t>16</w:t>
      </w:r>
      <w:r>
        <w:fldChar w:fldCharType="end"/>
      </w:r>
      <w:r>
        <w:rPr>
          <w:rFonts w:ascii="Times New Roman" w:hAnsi="Times New Roman" w:eastAsia="宋体" w:cs="Times New Roman"/>
          <w:kern w:val="2"/>
          <w:szCs w:val="32"/>
          <w:lang w:val="en-US" w:eastAsia="zh-CN" w:bidi="ar-SA"/>
        </w:rPr>
        <w:fldChar w:fldCharType="end"/>
      </w:r>
    </w:p>
    <w:p w14:paraId="1E7A59F3">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_Toc7674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17.谈判小组</w:t>
      </w:r>
      <w:r>
        <w:tab/>
      </w:r>
      <w:r>
        <w:fldChar w:fldCharType="begin"/>
      </w:r>
      <w:r>
        <w:instrText xml:space="preserve"> PAGEREF _Toc7674 \h </w:instrText>
      </w:r>
      <w:r>
        <w:fldChar w:fldCharType="separate"/>
      </w:r>
      <w:r>
        <w:t>16</w:t>
      </w:r>
      <w:r>
        <w:fldChar w:fldCharType="end"/>
      </w:r>
      <w:r>
        <w:rPr>
          <w:rFonts w:ascii="Times New Roman" w:hAnsi="Times New Roman" w:eastAsia="宋体" w:cs="Times New Roman"/>
          <w:kern w:val="2"/>
          <w:szCs w:val="32"/>
          <w:lang w:val="en-US" w:eastAsia="zh-CN" w:bidi="ar-SA"/>
        </w:rPr>
        <w:fldChar w:fldCharType="end"/>
      </w:r>
    </w:p>
    <w:p w14:paraId="506FC4CF">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_Toc25238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18.响应文件审查</w:t>
      </w:r>
      <w:r>
        <w:tab/>
      </w:r>
      <w:r>
        <w:fldChar w:fldCharType="begin"/>
      </w:r>
      <w:r>
        <w:instrText xml:space="preserve"> PAGEREF _Toc25238 \h </w:instrText>
      </w:r>
      <w:r>
        <w:fldChar w:fldCharType="separate"/>
      </w:r>
      <w:r>
        <w:t>17</w:t>
      </w:r>
      <w:r>
        <w:fldChar w:fldCharType="end"/>
      </w:r>
      <w:r>
        <w:rPr>
          <w:rFonts w:ascii="Times New Roman" w:hAnsi="Times New Roman" w:eastAsia="宋体" w:cs="Times New Roman"/>
          <w:kern w:val="2"/>
          <w:szCs w:val="32"/>
          <w:lang w:val="en-US" w:eastAsia="zh-CN" w:bidi="ar-SA"/>
        </w:rPr>
        <w:fldChar w:fldCharType="end"/>
      </w:r>
    </w:p>
    <w:p w14:paraId="4BB1F849">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_Toc6790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19.谈判程序</w:t>
      </w:r>
      <w:r>
        <w:tab/>
      </w:r>
      <w:r>
        <w:fldChar w:fldCharType="begin"/>
      </w:r>
      <w:r>
        <w:instrText xml:space="preserve"> PAGEREF _Toc6790 \h </w:instrText>
      </w:r>
      <w:r>
        <w:fldChar w:fldCharType="separate"/>
      </w:r>
      <w:r>
        <w:t>18</w:t>
      </w:r>
      <w:r>
        <w:fldChar w:fldCharType="end"/>
      </w:r>
      <w:r>
        <w:rPr>
          <w:rFonts w:ascii="Times New Roman" w:hAnsi="Times New Roman" w:eastAsia="宋体" w:cs="Times New Roman"/>
          <w:kern w:val="2"/>
          <w:szCs w:val="32"/>
          <w:lang w:val="en-US" w:eastAsia="zh-CN" w:bidi="ar-SA"/>
        </w:rPr>
        <w:fldChar w:fldCharType="end"/>
      </w:r>
    </w:p>
    <w:p w14:paraId="66CA8383">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_Toc10327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20.澄清</w:t>
      </w:r>
      <w:r>
        <w:tab/>
      </w:r>
      <w:r>
        <w:fldChar w:fldCharType="begin"/>
      </w:r>
      <w:r>
        <w:instrText xml:space="preserve"> PAGEREF _Toc10327 \h </w:instrText>
      </w:r>
      <w:r>
        <w:fldChar w:fldCharType="separate"/>
      </w:r>
      <w:r>
        <w:t>19</w:t>
      </w:r>
      <w:r>
        <w:fldChar w:fldCharType="end"/>
      </w:r>
      <w:r>
        <w:rPr>
          <w:rFonts w:ascii="Times New Roman" w:hAnsi="Times New Roman" w:eastAsia="宋体" w:cs="Times New Roman"/>
          <w:kern w:val="2"/>
          <w:szCs w:val="32"/>
          <w:lang w:val="en-US" w:eastAsia="zh-CN" w:bidi="ar-SA"/>
        </w:rPr>
        <w:fldChar w:fldCharType="end"/>
      </w:r>
    </w:p>
    <w:p w14:paraId="188405B3">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_Toc18737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21.退出谈判</w:t>
      </w:r>
      <w:r>
        <w:tab/>
      </w:r>
      <w:r>
        <w:fldChar w:fldCharType="begin"/>
      </w:r>
      <w:r>
        <w:instrText xml:space="preserve"> PAGEREF _Toc18737 \h </w:instrText>
      </w:r>
      <w:r>
        <w:fldChar w:fldCharType="separate"/>
      </w:r>
      <w:r>
        <w:t>20</w:t>
      </w:r>
      <w:r>
        <w:fldChar w:fldCharType="end"/>
      </w:r>
      <w:r>
        <w:rPr>
          <w:rFonts w:ascii="Times New Roman" w:hAnsi="Times New Roman" w:eastAsia="宋体" w:cs="Times New Roman"/>
          <w:kern w:val="2"/>
          <w:szCs w:val="32"/>
          <w:lang w:val="en-US" w:eastAsia="zh-CN" w:bidi="ar-SA"/>
        </w:rPr>
        <w:fldChar w:fldCharType="end"/>
      </w:r>
    </w:p>
    <w:p w14:paraId="2882B410">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_Toc1582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22.最后报价</w:t>
      </w:r>
      <w:r>
        <w:tab/>
      </w:r>
      <w:r>
        <w:fldChar w:fldCharType="begin"/>
      </w:r>
      <w:r>
        <w:instrText xml:space="preserve"> PAGEREF _Toc1582 \h </w:instrText>
      </w:r>
      <w:r>
        <w:fldChar w:fldCharType="separate"/>
      </w:r>
      <w:r>
        <w:t>20</w:t>
      </w:r>
      <w:r>
        <w:fldChar w:fldCharType="end"/>
      </w:r>
      <w:r>
        <w:rPr>
          <w:rFonts w:ascii="Times New Roman" w:hAnsi="Times New Roman" w:eastAsia="宋体" w:cs="Times New Roman"/>
          <w:kern w:val="2"/>
          <w:szCs w:val="32"/>
          <w:lang w:val="en-US" w:eastAsia="zh-CN" w:bidi="ar-SA"/>
        </w:rPr>
        <w:fldChar w:fldCharType="end"/>
      </w:r>
    </w:p>
    <w:p w14:paraId="03AB426A">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_Toc13644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23.确定成交竞标人</w:t>
      </w:r>
      <w:r>
        <w:tab/>
      </w:r>
      <w:r>
        <w:fldChar w:fldCharType="begin"/>
      </w:r>
      <w:r>
        <w:instrText xml:space="preserve"> PAGEREF _Toc13644 \h </w:instrText>
      </w:r>
      <w:r>
        <w:fldChar w:fldCharType="separate"/>
      </w:r>
      <w:r>
        <w:t>21</w:t>
      </w:r>
      <w:r>
        <w:fldChar w:fldCharType="end"/>
      </w:r>
      <w:r>
        <w:rPr>
          <w:rFonts w:ascii="Times New Roman" w:hAnsi="Times New Roman" w:eastAsia="宋体" w:cs="Times New Roman"/>
          <w:kern w:val="2"/>
          <w:szCs w:val="32"/>
          <w:lang w:val="en-US" w:eastAsia="zh-CN" w:bidi="ar-SA"/>
        </w:rPr>
        <w:fldChar w:fldCharType="end"/>
      </w:r>
    </w:p>
    <w:p w14:paraId="3B096631">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_Toc26535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24.重新评审</w:t>
      </w:r>
      <w:r>
        <w:tab/>
      </w:r>
      <w:r>
        <w:fldChar w:fldCharType="begin"/>
      </w:r>
      <w:r>
        <w:instrText xml:space="preserve"> PAGEREF _Toc26535 \h </w:instrText>
      </w:r>
      <w:r>
        <w:fldChar w:fldCharType="separate"/>
      </w:r>
      <w:r>
        <w:t>21</w:t>
      </w:r>
      <w:r>
        <w:fldChar w:fldCharType="end"/>
      </w:r>
      <w:r>
        <w:rPr>
          <w:rFonts w:ascii="Times New Roman" w:hAnsi="Times New Roman" w:eastAsia="宋体" w:cs="Times New Roman"/>
          <w:kern w:val="2"/>
          <w:szCs w:val="32"/>
          <w:lang w:val="en-US" w:eastAsia="zh-CN" w:bidi="ar-SA"/>
        </w:rPr>
        <w:fldChar w:fldCharType="end"/>
      </w:r>
    </w:p>
    <w:p w14:paraId="2110A737">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_Toc31655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25.谈判终止</w:t>
      </w:r>
      <w:r>
        <w:tab/>
      </w:r>
      <w:r>
        <w:fldChar w:fldCharType="begin"/>
      </w:r>
      <w:r>
        <w:instrText xml:space="preserve"> PAGEREF _Toc31655 \h </w:instrText>
      </w:r>
      <w:r>
        <w:fldChar w:fldCharType="separate"/>
      </w:r>
      <w:r>
        <w:t>22</w:t>
      </w:r>
      <w:r>
        <w:fldChar w:fldCharType="end"/>
      </w:r>
      <w:r>
        <w:rPr>
          <w:rFonts w:ascii="Times New Roman" w:hAnsi="Times New Roman" w:eastAsia="宋体" w:cs="Times New Roman"/>
          <w:kern w:val="2"/>
          <w:szCs w:val="32"/>
          <w:lang w:val="en-US" w:eastAsia="zh-CN" w:bidi="ar-SA"/>
        </w:rPr>
        <w:fldChar w:fldCharType="end"/>
      </w:r>
    </w:p>
    <w:p w14:paraId="61DDFC01">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_Toc16353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26.串通情形认定及处理</w:t>
      </w:r>
      <w:r>
        <w:tab/>
      </w:r>
      <w:r>
        <w:fldChar w:fldCharType="begin"/>
      </w:r>
      <w:r>
        <w:instrText xml:space="preserve"> PAGEREF _Toc16353 \h </w:instrText>
      </w:r>
      <w:r>
        <w:fldChar w:fldCharType="separate"/>
      </w:r>
      <w:r>
        <w:t>22</w:t>
      </w:r>
      <w:r>
        <w:fldChar w:fldCharType="end"/>
      </w:r>
      <w:r>
        <w:rPr>
          <w:rFonts w:ascii="Times New Roman" w:hAnsi="Times New Roman" w:eastAsia="宋体" w:cs="Times New Roman"/>
          <w:kern w:val="2"/>
          <w:szCs w:val="32"/>
          <w:lang w:val="en-US" w:eastAsia="zh-CN" w:bidi="ar-SA"/>
        </w:rPr>
        <w:fldChar w:fldCharType="end"/>
      </w:r>
    </w:p>
    <w:p w14:paraId="18FF401F">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_Toc11827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highlight w:val="none"/>
          <w:lang w:val="en-US" w:eastAsia="zh-CN" w:bidi="ar-SA"/>
        </w:rPr>
        <w:t>六、成交结果信息公布与授予合同</w:t>
      </w:r>
      <w:r>
        <w:tab/>
      </w:r>
      <w:r>
        <w:fldChar w:fldCharType="begin"/>
      </w:r>
      <w:r>
        <w:instrText xml:space="preserve"> PAGEREF _Toc11827 \h </w:instrText>
      </w:r>
      <w:r>
        <w:fldChar w:fldCharType="separate"/>
      </w:r>
      <w:r>
        <w:t>23</w:t>
      </w:r>
      <w:r>
        <w:fldChar w:fldCharType="end"/>
      </w:r>
      <w:r>
        <w:rPr>
          <w:rFonts w:ascii="Times New Roman" w:hAnsi="Times New Roman" w:eastAsia="宋体" w:cs="Times New Roman"/>
          <w:kern w:val="2"/>
          <w:szCs w:val="32"/>
          <w:lang w:val="en-US" w:eastAsia="zh-CN" w:bidi="ar-SA"/>
        </w:rPr>
        <w:fldChar w:fldCharType="end"/>
      </w:r>
    </w:p>
    <w:p w14:paraId="56B62120">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_Toc16176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27.成交信息的公布与通知</w:t>
      </w:r>
      <w:r>
        <w:tab/>
      </w:r>
      <w:r>
        <w:fldChar w:fldCharType="begin"/>
      </w:r>
      <w:r>
        <w:instrText xml:space="preserve"> PAGEREF _Toc16176 \h </w:instrText>
      </w:r>
      <w:r>
        <w:fldChar w:fldCharType="separate"/>
      </w:r>
      <w:r>
        <w:t>23</w:t>
      </w:r>
      <w:r>
        <w:fldChar w:fldCharType="end"/>
      </w:r>
      <w:r>
        <w:rPr>
          <w:rFonts w:ascii="Times New Roman" w:hAnsi="Times New Roman" w:eastAsia="宋体" w:cs="Times New Roman"/>
          <w:kern w:val="2"/>
          <w:szCs w:val="32"/>
          <w:lang w:val="en-US" w:eastAsia="zh-CN" w:bidi="ar-SA"/>
        </w:rPr>
        <w:fldChar w:fldCharType="end"/>
      </w:r>
    </w:p>
    <w:p w14:paraId="74B923A4">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_Toc4491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28.授予合同</w:t>
      </w:r>
      <w:r>
        <w:tab/>
      </w:r>
      <w:r>
        <w:fldChar w:fldCharType="begin"/>
      </w:r>
      <w:r>
        <w:instrText xml:space="preserve"> PAGEREF _Toc4491 \h </w:instrText>
      </w:r>
      <w:r>
        <w:fldChar w:fldCharType="separate"/>
      </w:r>
      <w:r>
        <w:t>24</w:t>
      </w:r>
      <w:r>
        <w:fldChar w:fldCharType="end"/>
      </w:r>
      <w:r>
        <w:rPr>
          <w:rFonts w:ascii="Times New Roman" w:hAnsi="Times New Roman" w:eastAsia="宋体" w:cs="Times New Roman"/>
          <w:kern w:val="2"/>
          <w:szCs w:val="32"/>
          <w:lang w:val="en-US" w:eastAsia="zh-CN" w:bidi="ar-SA"/>
        </w:rPr>
        <w:fldChar w:fldCharType="end"/>
      </w:r>
    </w:p>
    <w:p w14:paraId="3F874116">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_Toc32499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29.履约验收</w:t>
      </w:r>
      <w:r>
        <w:tab/>
      </w:r>
      <w:r>
        <w:fldChar w:fldCharType="begin"/>
      </w:r>
      <w:r>
        <w:instrText xml:space="preserve"> PAGEREF _Toc32499 \h </w:instrText>
      </w:r>
      <w:r>
        <w:fldChar w:fldCharType="separate"/>
      </w:r>
      <w:r>
        <w:t>24</w:t>
      </w:r>
      <w:r>
        <w:fldChar w:fldCharType="end"/>
      </w:r>
      <w:r>
        <w:rPr>
          <w:rFonts w:ascii="Times New Roman" w:hAnsi="Times New Roman" w:eastAsia="宋体" w:cs="Times New Roman"/>
          <w:kern w:val="2"/>
          <w:szCs w:val="32"/>
          <w:lang w:val="en-US" w:eastAsia="zh-CN" w:bidi="ar-SA"/>
        </w:rPr>
        <w:fldChar w:fldCharType="end"/>
      </w:r>
    </w:p>
    <w:p w14:paraId="11FA3978">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_Toc27649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highlight w:val="none"/>
          <w:lang w:val="en-US" w:eastAsia="zh-CN" w:bidi="ar-SA"/>
        </w:rPr>
        <w:t>七、询问与质疑</w:t>
      </w:r>
      <w:r>
        <w:tab/>
      </w:r>
      <w:r>
        <w:fldChar w:fldCharType="begin"/>
      </w:r>
      <w:r>
        <w:instrText xml:space="preserve"> PAGEREF _Toc27649 \h </w:instrText>
      </w:r>
      <w:r>
        <w:fldChar w:fldCharType="separate"/>
      </w:r>
      <w:r>
        <w:t>25</w:t>
      </w:r>
      <w:r>
        <w:fldChar w:fldCharType="end"/>
      </w:r>
      <w:r>
        <w:rPr>
          <w:rFonts w:ascii="Times New Roman" w:hAnsi="Times New Roman" w:eastAsia="宋体" w:cs="Times New Roman"/>
          <w:kern w:val="2"/>
          <w:szCs w:val="32"/>
          <w:lang w:val="en-US" w:eastAsia="zh-CN" w:bidi="ar-SA"/>
        </w:rPr>
        <w:fldChar w:fldCharType="end"/>
      </w:r>
    </w:p>
    <w:p w14:paraId="5C4124DD">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_Toc7415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30.对谈判过程、结果的询问及质疑</w:t>
      </w:r>
      <w:r>
        <w:tab/>
      </w:r>
      <w:r>
        <w:fldChar w:fldCharType="begin"/>
      </w:r>
      <w:r>
        <w:instrText xml:space="preserve"> PAGEREF _Toc7415 \h </w:instrText>
      </w:r>
      <w:r>
        <w:fldChar w:fldCharType="separate"/>
      </w:r>
      <w:r>
        <w:t>25</w:t>
      </w:r>
      <w:r>
        <w:fldChar w:fldCharType="end"/>
      </w:r>
      <w:r>
        <w:rPr>
          <w:rFonts w:ascii="Times New Roman" w:hAnsi="Times New Roman" w:eastAsia="宋体" w:cs="Times New Roman"/>
          <w:kern w:val="2"/>
          <w:szCs w:val="32"/>
          <w:lang w:val="en-US" w:eastAsia="zh-CN" w:bidi="ar-SA"/>
        </w:rPr>
        <w:fldChar w:fldCharType="end"/>
      </w:r>
    </w:p>
    <w:p w14:paraId="5B8EEA97">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_Toc6628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bCs w:val="0"/>
          <w:kern w:val="2"/>
          <w:szCs w:val="32"/>
          <w:highlight w:val="none"/>
          <w:lang w:val="en-US" w:eastAsia="zh-CN" w:bidi="ar-SA"/>
        </w:rPr>
        <w:t>八、其他规定</w:t>
      </w:r>
      <w:r>
        <w:tab/>
      </w:r>
      <w:r>
        <w:fldChar w:fldCharType="begin"/>
      </w:r>
      <w:r>
        <w:instrText xml:space="preserve"> PAGEREF _Toc6628 \h </w:instrText>
      </w:r>
      <w:r>
        <w:fldChar w:fldCharType="separate"/>
      </w:r>
      <w:r>
        <w:t>25</w:t>
      </w:r>
      <w:r>
        <w:fldChar w:fldCharType="end"/>
      </w:r>
      <w:r>
        <w:rPr>
          <w:rFonts w:ascii="Times New Roman" w:hAnsi="Times New Roman" w:eastAsia="宋体" w:cs="Times New Roman"/>
          <w:kern w:val="2"/>
          <w:szCs w:val="32"/>
          <w:lang w:val="en-US" w:eastAsia="zh-CN" w:bidi="ar-SA"/>
        </w:rPr>
        <w:fldChar w:fldCharType="end"/>
      </w:r>
    </w:p>
    <w:p w14:paraId="28AAA9DB">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_Toc19232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en-US" w:eastAsia="zh-CN" w:bidi="ar-SA"/>
        </w:rPr>
        <w:t>31.其他规定</w:t>
      </w:r>
      <w:r>
        <w:tab/>
      </w:r>
      <w:r>
        <w:fldChar w:fldCharType="begin"/>
      </w:r>
      <w:r>
        <w:instrText xml:space="preserve"> PAGEREF _Toc19232 \h </w:instrText>
      </w:r>
      <w:r>
        <w:fldChar w:fldCharType="separate"/>
      </w:r>
      <w:r>
        <w:t>25</w:t>
      </w:r>
      <w:r>
        <w:fldChar w:fldCharType="end"/>
      </w:r>
      <w:r>
        <w:rPr>
          <w:rFonts w:ascii="Times New Roman" w:hAnsi="Times New Roman" w:eastAsia="宋体" w:cs="Times New Roman"/>
          <w:kern w:val="2"/>
          <w:szCs w:val="32"/>
          <w:lang w:val="en-US" w:eastAsia="zh-CN" w:bidi="ar-SA"/>
        </w:rPr>
        <w:fldChar w:fldCharType="end"/>
      </w:r>
    </w:p>
    <w:p w14:paraId="108C0B3E">
      <w:pPr>
        <w:pStyle w:val="17"/>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_Toc30996 </w:instrText>
      </w:r>
      <w:r>
        <w:rPr>
          <w:rFonts w:ascii="Times New Roman" w:hAnsi="Times New Roman" w:eastAsia="宋体" w:cs="Times New Roman"/>
          <w:kern w:val="2"/>
          <w:szCs w:val="32"/>
          <w:lang w:val="en-US" w:eastAsia="zh-CN" w:bidi="ar-SA"/>
        </w:rPr>
        <w:fldChar w:fldCharType="separate"/>
      </w:r>
      <w:r>
        <w:rPr>
          <w:rFonts w:hint="eastAsia" w:ascii="华文中宋" w:hAnsi="华文中宋" w:eastAsia="华文中宋" w:cs="华文中宋"/>
          <w:bCs w:val="0"/>
          <w:szCs w:val="44"/>
          <w:lang w:eastAsia="zh-CN"/>
        </w:rPr>
        <w:t>第</w:t>
      </w:r>
      <w:r>
        <w:rPr>
          <w:rFonts w:hint="eastAsia" w:ascii="华文中宋" w:hAnsi="华文中宋" w:eastAsia="华文中宋" w:cs="华文中宋"/>
          <w:bCs w:val="0"/>
          <w:szCs w:val="44"/>
          <w:lang w:val="en-US" w:eastAsia="zh-CN"/>
        </w:rPr>
        <w:t>三</w:t>
      </w:r>
      <w:r>
        <w:rPr>
          <w:rFonts w:hint="eastAsia" w:ascii="华文中宋" w:hAnsi="华文中宋" w:eastAsia="华文中宋" w:cs="华文中宋"/>
          <w:bCs w:val="0"/>
          <w:szCs w:val="44"/>
          <w:lang w:eastAsia="zh-CN"/>
        </w:rPr>
        <w:t>部分</w:t>
      </w:r>
      <w:r>
        <w:rPr>
          <w:rFonts w:hint="eastAsia" w:ascii="华文中宋" w:hAnsi="华文中宋" w:eastAsia="华文中宋" w:cs="华文中宋"/>
          <w:bCs w:val="0"/>
          <w:szCs w:val="44"/>
          <w:lang w:val="en-US" w:eastAsia="zh-CN"/>
        </w:rPr>
        <w:t xml:space="preserve"> </w:t>
      </w:r>
      <w:r>
        <w:rPr>
          <w:rFonts w:hint="eastAsia" w:ascii="华文中宋" w:hAnsi="华文中宋" w:eastAsia="华文中宋" w:cs="华文中宋"/>
          <w:bCs w:val="0"/>
          <w:szCs w:val="44"/>
          <w:lang w:eastAsia="zh-CN"/>
        </w:rPr>
        <w:t>谈判响应文件格式</w:t>
      </w:r>
      <w:r>
        <w:tab/>
      </w:r>
      <w:r>
        <w:fldChar w:fldCharType="begin"/>
      </w:r>
      <w:r>
        <w:instrText xml:space="preserve"> PAGEREF _Toc30996 \h </w:instrText>
      </w:r>
      <w:r>
        <w:fldChar w:fldCharType="separate"/>
      </w:r>
      <w:r>
        <w:t>26</w:t>
      </w:r>
      <w:r>
        <w:fldChar w:fldCharType="end"/>
      </w:r>
      <w:r>
        <w:rPr>
          <w:rFonts w:ascii="Times New Roman" w:hAnsi="Times New Roman" w:eastAsia="宋体" w:cs="Times New Roman"/>
          <w:kern w:val="2"/>
          <w:szCs w:val="32"/>
          <w:lang w:val="en-US" w:eastAsia="zh-CN" w:bidi="ar-SA"/>
        </w:rPr>
        <w:fldChar w:fldCharType="end"/>
      </w:r>
    </w:p>
    <w:p w14:paraId="0450B158">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_Toc15664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kern w:val="2"/>
          <w:szCs w:val="32"/>
          <w:lang w:val="en-US" w:eastAsia="zh-CN" w:bidi="ar-SA"/>
        </w:rPr>
        <w:t>九、谈判响应文件的组成</w:t>
      </w:r>
      <w:r>
        <w:tab/>
      </w:r>
      <w:r>
        <w:fldChar w:fldCharType="begin"/>
      </w:r>
      <w:r>
        <w:instrText xml:space="preserve"> PAGEREF _Toc15664 \h </w:instrText>
      </w:r>
      <w:r>
        <w:fldChar w:fldCharType="separate"/>
      </w:r>
      <w:r>
        <w:t>26</w:t>
      </w:r>
      <w:r>
        <w:fldChar w:fldCharType="end"/>
      </w:r>
      <w:r>
        <w:rPr>
          <w:rFonts w:ascii="Times New Roman" w:hAnsi="Times New Roman" w:eastAsia="宋体" w:cs="Times New Roman"/>
          <w:kern w:val="2"/>
          <w:szCs w:val="32"/>
          <w:lang w:val="en-US" w:eastAsia="zh-CN" w:bidi="ar-SA"/>
        </w:rPr>
        <w:fldChar w:fldCharType="end"/>
      </w:r>
    </w:p>
    <w:p w14:paraId="6FC38613">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_Toc3621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zh-CN" w:eastAsia="zh-CN" w:bidi="ar-SA"/>
        </w:rPr>
        <w:t>（一）资格审查部分</w:t>
      </w:r>
      <w:r>
        <w:tab/>
      </w:r>
      <w:r>
        <w:fldChar w:fldCharType="begin"/>
      </w:r>
      <w:r>
        <w:instrText xml:space="preserve"> PAGEREF _Toc3621 \h </w:instrText>
      </w:r>
      <w:r>
        <w:fldChar w:fldCharType="separate"/>
      </w:r>
      <w:r>
        <w:t>26</w:t>
      </w:r>
      <w:r>
        <w:fldChar w:fldCharType="end"/>
      </w:r>
      <w:r>
        <w:rPr>
          <w:rFonts w:ascii="Times New Roman" w:hAnsi="Times New Roman" w:eastAsia="宋体" w:cs="Times New Roman"/>
          <w:kern w:val="2"/>
          <w:szCs w:val="32"/>
          <w:lang w:val="en-US" w:eastAsia="zh-CN" w:bidi="ar-SA"/>
        </w:rPr>
        <w:fldChar w:fldCharType="end"/>
      </w:r>
    </w:p>
    <w:p w14:paraId="63485A7B">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_Toc28126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kern w:val="2"/>
          <w:szCs w:val="32"/>
          <w:lang w:val="zh-CN" w:eastAsia="zh-CN" w:bidi="ar-SA"/>
        </w:rPr>
        <w:t>（二）有效性、完整性、响应程度审查部分</w:t>
      </w:r>
      <w:r>
        <w:tab/>
      </w:r>
      <w:r>
        <w:fldChar w:fldCharType="begin"/>
      </w:r>
      <w:r>
        <w:instrText xml:space="preserve"> PAGEREF _Toc28126 \h </w:instrText>
      </w:r>
      <w:r>
        <w:fldChar w:fldCharType="separate"/>
      </w:r>
      <w:r>
        <w:t>26</w:t>
      </w:r>
      <w:r>
        <w:fldChar w:fldCharType="end"/>
      </w:r>
      <w:r>
        <w:rPr>
          <w:rFonts w:ascii="Times New Roman" w:hAnsi="Times New Roman" w:eastAsia="宋体" w:cs="Times New Roman"/>
          <w:kern w:val="2"/>
          <w:szCs w:val="32"/>
          <w:lang w:val="en-US" w:eastAsia="zh-CN" w:bidi="ar-SA"/>
        </w:rPr>
        <w:fldChar w:fldCharType="end"/>
      </w:r>
    </w:p>
    <w:p w14:paraId="4B7FE46B">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_Toc6041 </w:instrText>
      </w:r>
      <w:r>
        <w:rPr>
          <w:rFonts w:ascii="Times New Roman" w:hAnsi="Times New Roman" w:eastAsia="宋体" w:cs="Times New Roman"/>
          <w:kern w:val="2"/>
          <w:szCs w:val="32"/>
          <w:lang w:val="en-US" w:eastAsia="zh-CN" w:bidi="ar-SA"/>
        </w:rPr>
        <w:fldChar w:fldCharType="separate"/>
      </w:r>
      <w:r>
        <w:rPr>
          <w:rFonts w:hint="eastAsia" w:ascii="黑体" w:hAnsi="黑体" w:eastAsia="黑体" w:cs="黑体"/>
          <w:kern w:val="2"/>
          <w:szCs w:val="32"/>
          <w:lang w:val="en-US" w:eastAsia="zh-CN" w:bidi="ar-SA"/>
        </w:rPr>
        <w:t>十、谈判响应文件</w:t>
      </w:r>
      <w:r>
        <w:tab/>
      </w:r>
      <w:r>
        <w:fldChar w:fldCharType="begin"/>
      </w:r>
      <w:r>
        <w:instrText xml:space="preserve"> PAGEREF _Toc6041 \h </w:instrText>
      </w:r>
      <w:r>
        <w:fldChar w:fldCharType="separate"/>
      </w:r>
      <w:r>
        <w:t>27</w:t>
      </w:r>
      <w:r>
        <w:fldChar w:fldCharType="end"/>
      </w:r>
      <w:r>
        <w:rPr>
          <w:rFonts w:ascii="Times New Roman" w:hAnsi="Times New Roman" w:eastAsia="宋体" w:cs="Times New Roman"/>
          <w:kern w:val="2"/>
          <w:szCs w:val="32"/>
          <w:lang w:val="en-US" w:eastAsia="zh-CN" w:bidi="ar-SA"/>
        </w:rPr>
        <w:fldChar w:fldCharType="end"/>
      </w:r>
    </w:p>
    <w:p w14:paraId="54D3ED2B">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_Toc15779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附件1：响应函</w:t>
      </w:r>
      <w:r>
        <w:tab/>
      </w:r>
      <w:r>
        <w:fldChar w:fldCharType="begin"/>
      </w:r>
      <w:r>
        <w:instrText xml:space="preserve"> PAGEREF _Toc15779 \h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14:paraId="651182DB">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_Toc10241 </w:instrText>
      </w:r>
      <w:r>
        <w:rPr>
          <w:rFonts w:ascii="Times New Roman" w:hAnsi="Times New Roman" w:eastAsia="宋体" w:cs="Times New Roman"/>
          <w:kern w:val="2"/>
          <w:szCs w:val="32"/>
          <w:lang w:val="en-US" w:eastAsia="zh-CN" w:bidi="ar-SA"/>
        </w:rPr>
        <w:fldChar w:fldCharType="separate"/>
      </w:r>
      <w:r>
        <w:rPr>
          <w:rFonts w:hint="eastAsia" w:ascii="仿宋_GB2312" w:hAnsi="仿宋_GB2312" w:eastAsia="仿宋_GB2312" w:cs="仿宋_GB2312"/>
          <w:szCs w:val="32"/>
        </w:rPr>
        <w:t>4、与本</w:t>
      </w:r>
      <w:r>
        <w:rPr>
          <w:rFonts w:hint="eastAsia" w:ascii="仿宋_GB2312" w:hAnsi="仿宋_GB2312" w:eastAsia="仿宋_GB2312" w:cs="仿宋_GB2312"/>
          <w:szCs w:val="32"/>
          <w:lang w:eastAsia="zh-CN"/>
        </w:rPr>
        <w:t>次竞争性谈判</w:t>
      </w:r>
      <w:r>
        <w:rPr>
          <w:rFonts w:hint="eastAsia" w:ascii="仿宋_GB2312" w:hAnsi="仿宋_GB2312" w:eastAsia="仿宋_GB2312" w:cs="仿宋_GB2312"/>
          <w:szCs w:val="32"/>
        </w:rPr>
        <w:t>有关的一切正式往来通讯请寄：</w:t>
      </w:r>
      <w:r>
        <w:tab/>
      </w:r>
      <w:r>
        <w:fldChar w:fldCharType="begin"/>
      </w:r>
      <w:r>
        <w:instrText xml:space="preserve"> PAGEREF _Toc10241 \h </w:instrText>
      </w:r>
      <w:r>
        <w:fldChar w:fldCharType="separate"/>
      </w:r>
      <w:r>
        <w:t>28</w:t>
      </w:r>
      <w:r>
        <w:fldChar w:fldCharType="end"/>
      </w:r>
      <w:r>
        <w:rPr>
          <w:rFonts w:ascii="Times New Roman" w:hAnsi="Times New Roman" w:eastAsia="宋体" w:cs="Times New Roman"/>
          <w:kern w:val="2"/>
          <w:szCs w:val="32"/>
          <w:lang w:val="en-US" w:eastAsia="zh-CN" w:bidi="ar-SA"/>
        </w:rPr>
        <w:fldChar w:fldCharType="end"/>
      </w:r>
    </w:p>
    <w:p w14:paraId="46894DFC">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_Toc16611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附件2：法定代表人证明书</w:t>
      </w:r>
      <w:r>
        <w:tab/>
      </w:r>
      <w:r>
        <w:fldChar w:fldCharType="begin"/>
      </w:r>
      <w:r>
        <w:instrText xml:space="preserve"> PAGEREF _Toc16611 \h </w:instrText>
      </w:r>
      <w:r>
        <w:fldChar w:fldCharType="separate"/>
      </w:r>
      <w:r>
        <w:t>29</w:t>
      </w:r>
      <w:r>
        <w:fldChar w:fldCharType="end"/>
      </w:r>
      <w:r>
        <w:rPr>
          <w:rFonts w:ascii="Times New Roman" w:hAnsi="Times New Roman" w:eastAsia="宋体" w:cs="Times New Roman"/>
          <w:kern w:val="2"/>
          <w:szCs w:val="32"/>
          <w:lang w:val="en-US" w:eastAsia="zh-CN" w:bidi="ar-SA"/>
        </w:rPr>
        <w:fldChar w:fldCharType="end"/>
      </w:r>
    </w:p>
    <w:p w14:paraId="078E3988">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_Toc26111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附件3：法定代表人授权书</w:t>
      </w:r>
      <w:r>
        <w:tab/>
      </w:r>
      <w:r>
        <w:fldChar w:fldCharType="begin"/>
      </w:r>
      <w:r>
        <w:instrText xml:space="preserve"> PAGEREF _Toc26111 \h </w:instrText>
      </w:r>
      <w:r>
        <w:fldChar w:fldCharType="separate"/>
      </w:r>
      <w:r>
        <w:t>30</w:t>
      </w:r>
      <w:r>
        <w:fldChar w:fldCharType="end"/>
      </w:r>
      <w:r>
        <w:rPr>
          <w:rFonts w:ascii="Times New Roman" w:hAnsi="Times New Roman" w:eastAsia="宋体" w:cs="Times New Roman"/>
          <w:kern w:val="2"/>
          <w:szCs w:val="32"/>
          <w:lang w:val="en-US" w:eastAsia="zh-CN" w:bidi="ar-SA"/>
        </w:rPr>
        <w:fldChar w:fldCharType="end"/>
      </w:r>
    </w:p>
    <w:p w14:paraId="3A982775">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附件4：竞标人承诺函</w:t>
      </w:r>
      <w:r>
        <w:tab/>
      </w:r>
      <w:r>
        <w:fldChar w:fldCharType="begin"/>
      </w:r>
      <w:r>
        <w:instrText xml:space="preserve"> PAGEREF _Toc85 \h </w:instrText>
      </w:r>
      <w:r>
        <w:fldChar w:fldCharType="separate"/>
      </w:r>
      <w:r>
        <w:t>31</w:t>
      </w:r>
      <w:r>
        <w:fldChar w:fldCharType="end"/>
      </w:r>
      <w:r>
        <w:rPr>
          <w:rFonts w:ascii="Times New Roman" w:hAnsi="Times New Roman" w:eastAsia="宋体" w:cs="Times New Roman"/>
          <w:kern w:val="2"/>
          <w:szCs w:val="32"/>
          <w:lang w:val="en-US" w:eastAsia="zh-CN" w:bidi="ar-SA"/>
        </w:rPr>
        <w:fldChar w:fldCharType="end"/>
      </w:r>
    </w:p>
    <w:p w14:paraId="3FEDB82C">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_Toc18816 </w:instrText>
      </w:r>
      <w:r>
        <w:rPr>
          <w:rFonts w:ascii="Times New Roman" w:hAnsi="Times New Roman" w:eastAsia="宋体" w:cs="Times New Roman"/>
          <w:kern w:val="2"/>
          <w:szCs w:val="32"/>
          <w:lang w:val="en-US" w:eastAsia="zh-CN" w:bidi="ar-SA"/>
        </w:rPr>
        <w:fldChar w:fldCharType="separate"/>
      </w:r>
      <w:r>
        <w:rPr>
          <w:rFonts w:hint="eastAsia" w:ascii="仿宋_GB2312" w:hAnsi="仿宋_GB2312" w:eastAsia="仿宋_GB2312" w:cs="仿宋_GB2312"/>
          <w:bCs w:val="0"/>
          <w:szCs w:val="32"/>
        </w:rPr>
        <w:t>1、完全理解和接受谈判文件的一切规定和要求；</w:t>
      </w:r>
      <w:r>
        <w:tab/>
      </w:r>
      <w:r>
        <w:fldChar w:fldCharType="begin"/>
      </w:r>
      <w:r>
        <w:instrText xml:space="preserve"> PAGEREF _Toc18816 \h </w:instrText>
      </w:r>
      <w:r>
        <w:fldChar w:fldCharType="separate"/>
      </w:r>
      <w:r>
        <w:t>31</w:t>
      </w:r>
      <w:r>
        <w:fldChar w:fldCharType="end"/>
      </w:r>
      <w:r>
        <w:rPr>
          <w:rFonts w:ascii="Times New Roman" w:hAnsi="Times New Roman" w:eastAsia="宋体" w:cs="Times New Roman"/>
          <w:kern w:val="2"/>
          <w:szCs w:val="32"/>
          <w:lang w:val="en-US" w:eastAsia="zh-CN" w:bidi="ar-SA"/>
        </w:rPr>
        <w:fldChar w:fldCharType="end"/>
      </w:r>
    </w:p>
    <w:p w14:paraId="28AAE6C8">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_Toc17895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附件5：竞标人诚信承诺书</w:t>
      </w:r>
      <w:r>
        <w:tab/>
      </w:r>
      <w:r>
        <w:fldChar w:fldCharType="begin"/>
      </w:r>
      <w:r>
        <w:instrText xml:space="preserve"> PAGEREF _Toc17895 \h </w:instrText>
      </w:r>
      <w:r>
        <w:fldChar w:fldCharType="separate"/>
      </w:r>
      <w:r>
        <w:t>33</w:t>
      </w:r>
      <w:r>
        <w:fldChar w:fldCharType="end"/>
      </w:r>
      <w:r>
        <w:rPr>
          <w:rFonts w:ascii="Times New Roman" w:hAnsi="Times New Roman" w:eastAsia="宋体" w:cs="Times New Roman"/>
          <w:kern w:val="2"/>
          <w:szCs w:val="32"/>
          <w:lang w:val="en-US" w:eastAsia="zh-CN" w:bidi="ar-SA"/>
        </w:rPr>
        <w:fldChar w:fldCharType="end"/>
      </w:r>
    </w:p>
    <w:p w14:paraId="4CD453F3">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_Toc10155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附件6：竞标人资格证明文件</w:t>
      </w:r>
      <w:r>
        <w:tab/>
      </w:r>
      <w:r>
        <w:fldChar w:fldCharType="begin"/>
      </w:r>
      <w:r>
        <w:instrText xml:space="preserve"> PAGEREF _Toc10155 \h </w:instrText>
      </w:r>
      <w:r>
        <w:fldChar w:fldCharType="separate"/>
      </w:r>
      <w:r>
        <w:t>35</w:t>
      </w:r>
      <w:r>
        <w:fldChar w:fldCharType="end"/>
      </w:r>
      <w:r>
        <w:rPr>
          <w:rFonts w:ascii="Times New Roman" w:hAnsi="Times New Roman" w:eastAsia="宋体" w:cs="Times New Roman"/>
          <w:kern w:val="2"/>
          <w:szCs w:val="32"/>
          <w:lang w:val="en-US" w:eastAsia="zh-CN" w:bidi="ar-SA"/>
        </w:rPr>
        <w:fldChar w:fldCharType="end"/>
      </w:r>
    </w:p>
    <w:p w14:paraId="720D38AC">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_Toc8549 </w:instrText>
      </w:r>
      <w:r>
        <w:rPr>
          <w:rFonts w:ascii="Times New Roman" w:hAnsi="Times New Roman" w:eastAsia="宋体" w:cs="Times New Roman"/>
          <w:kern w:val="2"/>
          <w:szCs w:val="32"/>
          <w:lang w:val="en-US" w:eastAsia="zh-CN" w:bidi="ar-SA"/>
        </w:rPr>
        <w:fldChar w:fldCharType="separate"/>
      </w:r>
      <w:r>
        <w:rPr>
          <w:rFonts w:hint="eastAsia" w:ascii="仿宋_GB2312" w:hAnsi="仿宋_GB2312" w:eastAsia="仿宋_GB2312" w:cs="仿宋_GB2312"/>
          <w:szCs w:val="32"/>
        </w:rPr>
        <w:t>2、根据项目内容，提供</w:t>
      </w:r>
      <w:r>
        <w:rPr>
          <w:rFonts w:hint="eastAsia" w:ascii="仿宋_GB2312" w:hAnsi="仿宋_GB2312" w:eastAsia="仿宋_GB2312" w:cs="仿宋_GB2312"/>
          <w:szCs w:val="32"/>
          <w:lang w:eastAsia="zh-CN"/>
        </w:rPr>
        <w:t>竞标人</w:t>
      </w:r>
      <w:r>
        <w:rPr>
          <w:rFonts w:hint="eastAsia" w:ascii="仿宋_GB2312" w:hAnsi="仿宋_GB2312" w:eastAsia="仿宋_GB2312" w:cs="仿宋_GB2312"/>
          <w:szCs w:val="32"/>
        </w:rPr>
        <w:t>的相关资质证书、许可证等。</w:t>
      </w:r>
      <w:r>
        <w:tab/>
      </w:r>
      <w:r>
        <w:fldChar w:fldCharType="begin"/>
      </w:r>
      <w:r>
        <w:instrText xml:space="preserve"> PAGEREF _Toc8549 \h </w:instrText>
      </w:r>
      <w:r>
        <w:fldChar w:fldCharType="separate"/>
      </w:r>
      <w:r>
        <w:t>35</w:t>
      </w:r>
      <w:r>
        <w:fldChar w:fldCharType="end"/>
      </w:r>
      <w:r>
        <w:rPr>
          <w:rFonts w:ascii="Times New Roman" w:hAnsi="Times New Roman" w:eastAsia="宋体" w:cs="Times New Roman"/>
          <w:kern w:val="2"/>
          <w:szCs w:val="32"/>
          <w:lang w:val="en-US" w:eastAsia="zh-CN" w:bidi="ar-SA"/>
        </w:rPr>
        <w:fldChar w:fldCharType="end"/>
      </w:r>
    </w:p>
    <w:p w14:paraId="5E9FC877">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_Toc11091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szCs w:val="32"/>
          <w:lang w:eastAsia="zh-CN"/>
        </w:rPr>
        <w:t>附件8：无重大违法记录声明</w:t>
      </w:r>
      <w:r>
        <w:tab/>
      </w:r>
      <w:r>
        <w:fldChar w:fldCharType="begin"/>
      </w:r>
      <w:r>
        <w:instrText xml:space="preserve"> PAGEREF _Toc11091 \h </w:instrText>
      </w:r>
      <w:r>
        <w:fldChar w:fldCharType="separate"/>
      </w:r>
      <w:r>
        <w:t>37</w:t>
      </w:r>
      <w:r>
        <w:fldChar w:fldCharType="end"/>
      </w:r>
      <w:r>
        <w:rPr>
          <w:rFonts w:ascii="Times New Roman" w:hAnsi="Times New Roman" w:eastAsia="宋体" w:cs="Times New Roman"/>
          <w:kern w:val="2"/>
          <w:szCs w:val="32"/>
          <w:lang w:val="en-US" w:eastAsia="zh-CN" w:bidi="ar-SA"/>
        </w:rPr>
        <w:fldChar w:fldCharType="end"/>
      </w:r>
    </w:p>
    <w:p w14:paraId="7A45EF1E">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_Toc27563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附件9：谈判首次报价表</w:t>
      </w:r>
      <w:r>
        <w:tab/>
      </w:r>
      <w:r>
        <w:fldChar w:fldCharType="begin"/>
      </w:r>
      <w:r>
        <w:instrText xml:space="preserve"> PAGEREF _Toc27563 \h </w:instrText>
      </w:r>
      <w:r>
        <w:fldChar w:fldCharType="separate"/>
      </w:r>
      <w:r>
        <w:t>38</w:t>
      </w:r>
      <w:r>
        <w:fldChar w:fldCharType="end"/>
      </w:r>
      <w:r>
        <w:rPr>
          <w:rFonts w:ascii="Times New Roman" w:hAnsi="Times New Roman" w:eastAsia="宋体" w:cs="Times New Roman"/>
          <w:kern w:val="2"/>
          <w:szCs w:val="32"/>
          <w:lang w:val="en-US" w:eastAsia="zh-CN" w:bidi="ar-SA"/>
        </w:rPr>
        <w:fldChar w:fldCharType="end"/>
      </w:r>
    </w:p>
    <w:p w14:paraId="6DF9C794">
      <w:pPr>
        <w:pStyle w:val="13"/>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_Toc1518 </w:instrText>
      </w:r>
      <w:r>
        <w:rPr>
          <w:rFonts w:ascii="Times New Roman" w:hAnsi="Times New Roman" w:eastAsia="宋体" w:cs="Times New Roman"/>
          <w:kern w:val="2"/>
          <w:szCs w:val="32"/>
          <w:lang w:val="en-US" w:eastAsia="zh-CN" w:bidi="ar-SA"/>
        </w:rPr>
        <w:fldChar w:fldCharType="separate"/>
      </w:r>
      <w:r>
        <w:rPr>
          <w:rFonts w:hint="eastAsia" w:ascii="仿宋_GB2312" w:hAnsi="仿宋_GB2312" w:eastAsia="仿宋_GB2312" w:cs="仿宋_GB2312"/>
          <w:szCs w:val="32"/>
        </w:rPr>
        <w:t>3、“</w:t>
      </w:r>
      <w:r>
        <w:rPr>
          <w:rFonts w:hint="eastAsia" w:ascii="仿宋_GB2312" w:hAnsi="仿宋_GB2312" w:eastAsia="仿宋_GB2312" w:cs="仿宋_GB2312"/>
          <w:szCs w:val="32"/>
          <w:lang w:val="en-US" w:eastAsia="zh-CN"/>
        </w:rPr>
        <w:t>工</w:t>
      </w:r>
      <w:r>
        <w:rPr>
          <w:rFonts w:hint="eastAsia" w:ascii="仿宋_GB2312" w:hAnsi="仿宋_GB2312" w:eastAsia="仿宋_GB2312" w:cs="仿宋_GB2312"/>
          <w:szCs w:val="32"/>
        </w:rPr>
        <w:t>期”是指能够交付使用的具体时间（</w:t>
      </w:r>
      <w:r>
        <w:rPr>
          <w:rFonts w:hint="eastAsia" w:ascii="仿宋_GB2312" w:hAnsi="仿宋_GB2312" w:eastAsia="仿宋_GB2312" w:cs="仿宋_GB2312"/>
          <w:szCs w:val="32"/>
          <w:lang w:val="en-US" w:eastAsia="zh-CN"/>
        </w:rPr>
        <w:t>自然</w:t>
      </w:r>
      <w:r>
        <w:rPr>
          <w:rFonts w:hint="eastAsia" w:ascii="仿宋_GB2312" w:hAnsi="仿宋_GB2312" w:eastAsia="仿宋_GB2312" w:cs="仿宋_GB2312"/>
          <w:szCs w:val="32"/>
        </w:rPr>
        <w:t>日）。</w:t>
      </w:r>
      <w:r>
        <w:tab/>
      </w:r>
      <w:r>
        <w:fldChar w:fldCharType="begin"/>
      </w:r>
      <w:r>
        <w:instrText xml:space="preserve"> PAGEREF _Toc1518 \h </w:instrText>
      </w:r>
      <w:r>
        <w:fldChar w:fldCharType="separate"/>
      </w:r>
      <w:r>
        <w:t>38</w:t>
      </w:r>
      <w:r>
        <w:fldChar w:fldCharType="end"/>
      </w:r>
      <w:r>
        <w:rPr>
          <w:rFonts w:ascii="Times New Roman" w:hAnsi="Times New Roman" w:eastAsia="宋体" w:cs="Times New Roman"/>
          <w:kern w:val="2"/>
          <w:szCs w:val="32"/>
          <w:lang w:val="en-US" w:eastAsia="zh-CN" w:bidi="ar-SA"/>
        </w:rPr>
        <w:fldChar w:fldCharType="end"/>
      </w:r>
    </w:p>
    <w:p w14:paraId="43919B08">
      <w:pPr>
        <w:pStyle w:val="18"/>
        <w:tabs>
          <w:tab w:val="right" w:leader="dot" w:pos="8958"/>
        </w:tabs>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_Toc1076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附件10：最后报价表</w:t>
      </w:r>
      <w:r>
        <w:tab/>
      </w:r>
      <w:r>
        <w:fldChar w:fldCharType="begin"/>
      </w:r>
      <w:r>
        <w:instrText xml:space="preserve"> PAGEREF _Toc1076 \h </w:instrText>
      </w:r>
      <w:r>
        <w:fldChar w:fldCharType="separate"/>
      </w:r>
      <w:r>
        <w:t>39</w:t>
      </w:r>
      <w:r>
        <w:fldChar w:fldCharType="end"/>
      </w:r>
      <w:r>
        <w:rPr>
          <w:rFonts w:ascii="Times New Roman" w:hAnsi="Times New Roman" w:eastAsia="宋体" w:cs="Times New Roman"/>
          <w:kern w:val="2"/>
          <w:szCs w:val="32"/>
          <w:lang w:val="en-US" w:eastAsia="zh-CN" w:bidi="ar-SA"/>
        </w:rPr>
        <w:fldChar w:fldCharType="end"/>
      </w:r>
    </w:p>
    <w:p w14:paraId="546C7FEA">
      <w:pPr>
        <w:pStyle w:val="13"/>
        <w:tabs>
          <w:tab w:val="right" w:leader="dot" w:pos="8958"/>
        </w:tabs>
        <w:rPr>
          <w:rFonts w:ascii="Times New Roman" w:hAnsi="Times New Roman" w:eastAsia="宋体" w:cs="Times New Roman"/>
          <w:kern w:val="2"/>
          <w:szCs w:val="32"/>
          <w:lang w:val="en-US" w:eastAsia="zh-CN" w:bidi="ar-SA"/>
        </w:rPr>
      </w:pPr>
      <w:r>
        <w:rPr>
          <w:rFonts w:ascii="Times New Roman" w:hAnsi="Times New Roman" w:eastAsia="宋体" w:cs="Times New Roman"/>
          <w:kern w:val="2"/>
          <w:szCs w:val="32"/>
          <w:lang w:val="en-US" w:eastAsia="zh-CN" w:bidi="ar-SA"/>
        </w:rPr>
        <w:fldChar w:fldCharType="begin"/>
      </w:r>
      <w:r>
        <w:rPr>
          <w:rFonts w:ascii="Times New Roman" w:hAnsi="Times New Roman" w:eastAsia="宋体" w:cs="Times New Roman"/>
          <w:kern w:val="2"/>
          <w:szCs w:val="32"/>
          <w:lang w:val="en-US" w:eastAsia="zh-CN" w:bidi="ar-SA"/>
        </w:rPr>
        <w:instrText xml:space="preserve"> HYPERLINK \l _Toc17765 </w:instrText>
      </w:r>
      <w:r>
        <w:rPr>
          <w:rFonts w:ascii="Times New Roman" w:hAnsi="Times New Roman" w:eastAsia="宋体" w:cs="Times New Roman"/>
          <w:kern w:val="2"/>
          <w:szCs w:val="32"/>
          <w:lang w:val="en-US" w:eastAsia="zh-CN" w:bidi="ar-SA"/>
        </w:rPr>
        <w:fldChar w:fldCharType="separate"/>
      </w:r>
      <w:r>
        <w:rPr>
          <w:rFonts w:hint="eastAsia" w:ascii="楷体_GB2312" w:hAnsi="楷体_GB2312" w:eastAsia="楷体_GB2312" w:cs="楷体_GB2312"/>
          <w:bCs w:val="0"/>
          <w:kern w:val="2"/>
          <w:szCs w:val="32"/>
          <w:lang w:val="en-US" w:eastAsia="zh-CN" w:bidi="ar-SA"/>
        </w:rPr>
        <w:t>最后报价表</w:t>
      </w:r>
      <w:r>
        <w:tab/>
      </w:r>
      <w:r>
        <w:fldChar w:fldCharType="begin"/>
      </w:r>
      <w:r>
        <w:instrText xml:space="preserve"> PAGEREF _Toc17765 \h </w:instrText>
      </w:r>
      <w:r>
        <w:fldChar w:fldCharType="separate"/>
      </w:r>
      <w:r>
        <w:t>39</w:t>
      </w:r>
      <w:r>
        <w:fldChar w:fldCharType="end"/>
      </w:r>
      <w:r>
        <w:rPr>
          <w:rFonts w:ascii="Times New Roman" w:hAnsi="Times New Roman" w:eastAsia="宋体" w:cs="Times New Roman"/>
          <w:kern w:val="2"/>
          <w:szCs w:val="32"/>
          <w:lang w:val="en-US" w:eastAsia="zh-CN" w:bidi="ar-SA"/>
        </w:rPr>
        <w:fldChar w:fldCharType="end"/>
      </w:r>
    </w:p>
    <w:p w14:paraId="050AB1FB">
      <w:pPr>
        <w:rPr>
          <w:rFonts w:ascii="Times New Roman" w:hAnsi="Times New Roman" w:eastAsia="宋体" w:cs="Times New Roman"/>
          <w:kern w:val="2"/>
          <w:szCs w:val="32"/>
          <w:lang w:val="en-US" w:eastAsia="zh-CN" w:bidi="ar-SA"/>
        </w:rPr>
      </w:pPr>
    </w:p>
    <w:p w14:paraId="08CEA160">
      <w:pPr>
        <w:pStyle w:val="29"/>
        <w:rPr>
          <w:rFonts w:ascii="Times New Roman" w:hAnsi="Times New Roman" w:eastAsia="宋体" w:cs="Times New Roman"/>
          <w:kern w:val="2"/>
          <w:szCs w:val="32"/>
          <w:lang w:val="en-US" w:eastAsia="zh-CN" w:bidi="ar-SA"/>
        </w:rPr>
      </w:pPr>
    </w:p>
    <w:p w14:paraId="2FAE1B60">
      <w:pPr>
        <w:pStyle w:val="29"/>
        <w:rPr>
          <w:rFonts w:ascii="Times New Roman" w:hAnsi="Times New Roman" w:eastAsia="宋体" w:cs="Times New Roman"/>
          <w:kern w:val="2"/>
          <w:szCs w:val="32"/>
          <w:lang w:val="en-US" w:eastAsia="zh-CN" w:bidi="ar-SA"/>
        </w:rPr>
      </w:pPr>
    </w:p>
    <w:p w14:paraId="259000EC">
      <w:pPr>
        <w:pStyle w:val="29"/>
        <w:rPr>
          <w:rFonts w:ascii="Times New Roman" w:hAnsi="Times New Roman" w:eastAsia="宋体" w:cs="Times New Roman"/>
          <w:kern w:val="2"/>
          <w:szCs w:val="32"/>
          <w:lang w:val="en-US" w:eastAsia="zh-CN" w:bidi="ar-SA"/>
        </w:rPr>
      </w:pPr>
    </w:p>
    <w:p w14:paraId="43AE59DC">
      <w:pPr>
        <w:pStyle w:val="29"/>
        <w:rPr>
          <w:rFonts w:ascii="Times New Roman" w:hAnsi="Times New Roman" w:eastAsia="宋体" w:cs="Times New Roman"/>
          <w:kern w:val="2"/>
          <w:szCs w:val="32"/>
          <w:lang w:val="en-US" w:eastAsia="zh-CN" w:bidi="ar-SA"/>
        </w:rPr>
      </w:pPr>
    </w:p>
    <w:p w14:paraId="5686D605">
      <w:pPr>
        <w:pStyle w:val="29"/>
        <w:rPr>
          <w:rFonts w:ascii="Times New Roman" w:hAnsi="Times New Roman" w:eastAsia="宋体" w:cs="Times New Roman"/>
          <w:kern w:val="2"/>
          <w:szCs w:val="32"/>
          <w:lang w:val="en-US" w:eastAsia="zh-CN" w:bidi="ar-SA"/>
        </w:rPr>
      </w:pPr>
    </w:p>
    <w:p w14:paraId="00ED8ADD">
      <w:pPr>
        <w:pStyle w:val="29"/>
        <w:rPr>
          <w:rFonts w:ascii="Times New Roman" w:hAnsi="Times New Roman" w:eastAsia="宋体" w:cs="Times New Roman"/>
          <w:kern w:val="2"/>
          <w:szCs w:val="32"/>
          <w:lang w:val="en-US" w:eastAsia="zh-CN" w:bidi="ar-SA"/>
        </w:rPr>
      </w:pPr>
    </w:p>
    <w:p w14:paraId="1431BAB1">
      <w:pPr>
        <w:pStyle w:val="29"/>
        <w:rPr>
          <w:rFonts w:ascii="Times New Roman" w:hAnsi="Times New Roman" w:eastAsia="宋体" w:cs="Times New Roman"/>
          <w:kern w:val="2"/>
          <w:szCs w:val="32"/>
          <w:lang w:val="en-US" w:eastAsia="zh-CN" w:bidi="ar-SA"/>
        </w:rPr>
      </w:pPr>
    </w:p>
    <w:p w14:paraId="35B7A9E0">
      <w:pPr>
        <w:pStyle w:val="29"/>
        <w:rPr>
          <w:rFonts w:ascii="Times New Roman" w:hAnsi="Times New Roman" w:eastAsia="宋体" w:cs="Times New Roman"/>
          <w:kern w:val="2"/>
          <w:szCs w:val="32"/>
          <w:lang w:val="en-US" w:eastAsia="zh-CN" w:bidi="ar-SA"/>
        </w:rPr>
      </w:pPr>
    </w:p>
    <w:p w14:paraId="1D5D55E8">
      <w:pPr>
        <w:pStyle w:val="29"/>
        <w:rPr>
          <w:rFonts w:ascii="Times New Roman" w:hAnsi="Times New Roman" w:eastAsia="宋体" w:cs="Times New Roman"/>
          <w:kern w:val="2"/>
          <w:szCs w:val="32"/>
          <w:lang w:val="en-US" w:eastAsia="zh-CN" w:bidi="ar-SA"/>
        </w:rPr>
      </w:pPr>
    </w:p>
    <w:p w14:paraId="4125191C">
      <w:pPr>
        <w:pStyle w:val="29"/>
        <w:rPr>
          <w:rFonts w:ascii="Times New Roman" w:hAnsi="Times New Roman" w:eastAsia="宋体" w:cs="Times New Roman"/>
          <w:kern w:val="2"/>
          <w:szCs w:val="32"/>
          <w:lang w:val="en-US" w:eastAsia="zh-CN" w:bidi="ar-SA"/>
        </w:rPr>
      </w:pPr>
    </w:p>
    <w:p w14:paraId="164EB232">
      <w:pPr>
        <w:pStyle w:val="29"/>
        <w:rPr>
          <w:rFonts w:ascii="Times New Roman" w:hAnsi="Times New Roman" w:eastAsia="宋体" w:cs="Times New Roman"/>
          <w:kern w:val="2"/>
          <w:szCs w:val="32"/>
          <w:lang w:val="en-US" w:eastAsia="zh-CN" w:bidi="ar-SA"/>
        </w:rPr>
      </w:pPr>
    </w:p>
    <w:p w14:paraId="721183E4">
      <w:pPr>
        <w:pStyle w:val="29"/>
        <w:rPr>
          <w:rFonts w:ascii="Times New Roman" w:hAnsi="Times New Roman" w:eastAsia="宋体" w:cs="Times New Roman"/>
          <w:kern w:val="2"/>
          <w:szCs w:val="32"/>
          <w:lang w:val="en-US" w:eastAsia="zh-CN" w:bidi="ar-SA"/>
        </w:rPr>
      </w:pPr>
    </w:p>
    <w:p w14:paraId="6D2E16B0">
      <w:pPr>
        <w:pStyle w:val="29"/>
        <w:rPr>
          <w:rFonts w:ascii="Times New Roman" w:hAnsi="Times New Roman" w:eastAsia="宋体" w:cs="Times New Roman"/>
          <w:kern w:val="2"/>
          <w:szCs w:val="32"/>
          <w:lang w:val="en-US" w:eastAsia="zh-CN" w:bidi="ar-SA"/>
        </w:rPr>
      </w:pPr>
    </w:p>
    <w:p w14:paraId="7FC9C20E">
      <w:pPr>
        <w:pStyle w:val="29"/>
        <w:rPr>
          <w:rFonts w:ascii="Times New Roman" w:hAnsi="Times New Roman" w:eastAsia="宋体" w:cs="Times New Roman"/>
          <w:kern w:val="2"/>
          <w:szCs w:val="32"/>
          <w:lang w:val="en-US" w:eastAsia="zh-CN" w:bidi="ar-SA"/>
        </w:rPr>
      </w:pPr>
    </w:p>
    <w:p w14:paraId="538F4658">
      <w:pPr>
        <w:pStyle w:val="29"/>
        <w:rPr>
          <w:rFonts w:ascii="Times New Roman" w:hAnsi="Times New Roman" w:eastAsia="宋体" w:cs="Times New Roman"/>
          <w:kern w:val="2"/>
          <w:szCs w:val="32"/>
          <w:lang w:val="en-US" w:eastAsia="zh-CN" w:bidi="ar-SA"/>
        </w:rPr>
      </w:pPr>
    </w:p>
    <w:p w14:paraId="3816C68C">
      <w:pPr>
        <w:pStyle w:val="29"/>
        <w:rPr>
          <w:rFonts w:ascii="Times New Roman" w:hAnsi="Times New Roman" w:eastAsia="宋体" w:cs="Times New Roman"/>
          <w:kern w:val="2"/>
          <w:szCs w:val="32"/>
          <w:lang w:val="en-US" w:eastAsia="zh-CN" w:bidi="ar-SA"/>
        </w:rPr>
      </w:pPr>
    </w:p>
    <w:p w14:paraId="6E663C15">
      <w:pPr>
        <w:pStyle w:val="7"/>
        <w:keepNext/>
        <w:widowControl w:val="0"/>
        <w:numPr>
          <w:ilvl w:val="0"/>
          <w:numId w:val="1"/>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sz w:val="44"/>
          <w:szCs w:val="44"/>
          <w:lang w:val="en-US" w:eastAsia="zh-CN"/>
        </w:rPr>
      </w:pPr>
      <w:r>
        <w:rPr>
          <w:rFonts w:ascii="Times New Roman" w:hAnsi="Times New Roman" w:eastAsia="宋体" w:cs="Times New Roman"/>
          <w:kern w:val="2"/>
          <w:szCs w:val="32"/>
          <w:lang w:val="en-US" w:eastAsia="zh-CN" w:bidi="ar-SA"/>
        </w:rPr>
        <w:fldChar w:fldCharType="end"/>
      </w:r>
      <w:bookmarkStart w:id="2" w:name="_Toc20903"/>
      <w:bookmarkStart w:id="3" w:name="_Toc2998"/>
      <w:r>
        <w:rPr>
          <w:rFonts w:hint="eastAsia" w:ascii="华文中宋" w:hAnsi="华文中宋" w:eastAsia="华文中宋" w:cs="华文中宋"/>
          <w:b w:val="0"/>
          <w:bCs w:val="0"/>
          <w:sz w:val="44"/>
          <w:szCs w:val="44"/>
          <w:lang w:val="en-US" w:eastAsia="zh-CN"/>
        </w:rPr>
        <w:t>谈判</w:t>
      </w:r>
      <w:bookmarkEnd w:id="2"/>
      <w:r>
        <w:rPr>
          <w:rFonts w:hint="eastAsia" w:ascii="华文中宋" w:hAnsi="华文中宋" w:eastAsia="华文中宋" w:cs="华文中宋"/>
          <w:b w:val="0"/>
          <w:bCs w:val="0"/>
          <w:sz w:val="44"/>
          <w:szCs w:val="44"/>
          <w:lang w:val="en-US" w:eastAsia="zh-CN"/>
        </w:rPr>
        <w:t>须知前附表</w:t>
      </w:r>
      <w:bookmarkEnd w:id="3"/>
    </w:p>
    <w:p w14:paraId="55E639DB">
      <w:pPr>
        <w:numPr>
          <w:ilvl w:val="0"/>
          <w:numId w:val="0"/>
        </w:numPr>
        <w:rPr>
          <w:rFonts w:hint="eastAsia"/>
        </w:rPr>
      </w:pPr>
    </w:p>
    <w:tbl>
      <w:tblPr>
        <w:tblStyle w:val="23"/>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6"/>
        <w:gridCol w:w="7080"/>
      </w:tblGrid>
      <w:tr w14:paraId="2764FA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1866" w:type="dxa"/>
            <w:tcBorders>
              <w:tl2br w:val="nil"/>
              <w:tr2bl w:val="nil"/>
            </w:tcBorders>
            <w:vAlign w:val="center"/>
          </w:tcPr>
          <w:p w14:paraId="67FC7589">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名称</w:t>
            </w:r>
          </w:p>
        </w:tc>
        <w:tc>
          <w:tcPr>
            <w:tcW w:w="7080" w:type="dxa"/>
            <w:tcBorders>
              <w:tl2br w:val="nil"/>
              <w:tr2bl w:val="nil"/>
            </w:tcBorders>
            <w:vAlign w:val="top"/>
          </w:tcPr>
          <w:p w14:paraId="3E3CAE25">
            <w:pPr>
              <w:wordWrap/>
              <w:adjustRightInd w:val="0"/>
              <w:snapToGrid w:val="0"/>
              <w:spacing w:before="157" w:beforeLines="50" w:line="560" w:lineRule="exact"/>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sz w:val="32"/>
                <w:szCs w:val="32"/>
                <w:lang w:val="en-US" w:eastAsia="zh-CN"/>
              </w:rPr>
              <w:t>柴达木国际大酒店工程改造单位选聘</w:t>
            </w:r>
          </w:p>
        </w:tc>
      </w:tr>
      <w:tr w14:paraId="4571AE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1C44C665">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项目编号</w:t>
            </w:r>
          </w:p>
        </w:tc>
        <w:tc>
          <w:tcPr>
            <w:tcW w:w="7080" w:type="dxa"/>
            <w:tcBorders>
              <w:tl2br w:val="nil"/>
              <w:tr2bl w:val="nil"/>
            </w:tcBorders>
            <w:vAlign w:val="top"/>
          </w:tcPr>
          <w:p w14:paraId="0414757A">
            <w:pPr>
              <w:wordWrap/>
              <w:adjustRightInd w:val="0"/>
              <w:snapToGrid w:val="0"/>
              <w:spacing w:before="157" w:beforeLines="50" w:line="560" w:lineRule="exact"/>
              <w:jc w:val="left"/>
              <w:rPr>
                <w:rFonts w:hint="default" w:ascii="仿宋_GB2312" w:hAnsi="仿宋_GB2312" w:eastAsia="仿宋_GB2312" w:cs="仿宋_GB2312"/>
                <w:color w:val="auto"/>
                <w:kern w:val="2"/>
                <w:sz w:val="32"/>
                <w:szCs w:val="32"/>
                <w:u w:val="single"/>
                <w:lang w:val="en-US"/>
              </w:rPr>
            </w:pPr>
            <w:r>
              <w:rPr>
                <w:rFonts w:hint="eastAsia" w:ascii="仿宋_GB2312" w:hAnsi="仿宋_GB2312" w:eastAsia="仿宋_GB2312" w:cs="仿宋_GB2312"/>
                <w:b w:val="0"/>
                <w:bCs/>
                <w:sz w:val="32"/>
                <w:szCs w:val="32"/>
                <w:lang w:val="en-US" w:eastAsia="zh-CN"/>
              </w:rPr>
              <w:t>海西国投-竞磋-2024-29</w:t>
            </w:r>
          </w:p>
        </w:tc>
      </w:tr>
      <w:tr w14:paraId="3D43BC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1ABB4919">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选聘</w:t>
            </w:r>
            <w:r>
              <w:rPr>
                <w:rFonts w:hint="eastAsia" w:ascii="仿宋_GB2312" w:hAnsi="仿宋_GB2312" w:eastAsia="仿宋_GB2312" w:cs="仿宋_GB2312"/>
                <w:sz w:val="32"/>
                <w:szCs w:val="32"/>
                <w:lang w:eastAsia="zh-CN"/>
              </w:rPr>
              <w:t>方式</w:t>
            </w:r>
          </w:p>
        </w:tc>
        <w:tc>
          <w:tcPr>
            <w:tcW w:w="7080" w:type="dxa"/>
            <w:tcBorders>
              <w:tl2br w:val="nil"/>
              <w:tr2bl w:val="nil"/>
            </w:tcBorders>
            <w:vAlign w:val="top"/>
          </w:tcPr>
          <w:p w14:paraId="1B7D91A0">
            <w:pPr>
              <w:wordWrap/>
              <w:adjustRightInd w:val="0"/>
              <w:snapToGrid w:val="0"/>
              <w:spacing w:before="157" w:beforeLines="50"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竞争性</w:t>
            </w:r>
            <w:r>
              <w:rPr>
                <w:rFonts w:hint="eastAsia" w:ascii="仿宋_GB2312" w:hAnsi="仿宋_GB2312" w:eastAsia="仿宋_GB2312" w:cs="仿宋_GB2312"/>
                <w:sz w:val="32"/>
                <w:szCs w:val="32"/>
                <w:lang w:val="en-US" w:eastAsia="zh-CN"/>
              </w:rPr>
              <w:t>磋商</w:t>
            </w:r>
          </w:p>
        </w:tc>
      </w:tr>
      <w:tr w14:paraId="12859F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0D759F38">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项目分包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个数</w:t>
            </w:r>
          </w:p>
        </w:tc>
        <w:tc>
          <w:tcPr>
            <w:tcW w:w="7080" w:type="dxa"/>
            <w:tcBorders>
              <w:tl2br w:val="nil"/>
              <w:tr2bl w:val="nil"/>
            </w:tcBorders>
            <w:vAlign w:val="center"/>
          </w:tcPr>
          <w:p w14:paraId="04326062">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u w:val="none"/>
                <w:lang w:val="zh-CN"/>
              </w:rPr>
              <w:t>无分包</w:t>
            </w:r>
          </w:p>
        </w:tc>
      </w:tr>
      <w:tr w14:paraId="01ED6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6BFE196B">
            <w:pPr>
              <w:wordWrap/>
              <w:adjustRightInd w:val="0"/>
              <w:snapToGrid w:val="0"/>
              <w:spacing w:before="157"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项目概况</w:t>
            </w:r>
          </w:p>
        </w:tc>
        <w:tc>
          <w:tcPr>
            <w:tcW w:w="7080" w:type="dxa"/>
            <w:tcBorders>
              <w:tl2br w:val="nil"/>
              <w:tr2bl w:val="nil"/>
            </w:tcBorders>
            <w:vAlign w:val="center"/>
          </w:tcPr>
          <w:p w14:paraId="7F1D7D13">
            <w:pPr>
              <w:widowControl/>
              <w:spacing w:before="0" w:after="0" w:line="450" w:lineRule="atLeas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柴达木国际大酒店工程改造，具体内容详见清单。竞标人自行踏勘现场。</w:t>
            </w:r>
            <w:bookmarkStart w:id="414" w:name="_GoBack"/>
            <w:bookmarkEnd w:id="414"/>
          </w:p>
        </w:tc>
      </w:tr>
      <w:tr w14:paraId="346F98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ED72474">
            <w:pPr>
              <w:wordWrap/>
              <w:adjustRightInd w:val="0"/>
              <w:snapToGrid w:val="0"/>
              <w:spacing w:before="157"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限价</w:t>
            </w:r>
          </w:p>
        </w:tc>
        <w:tc>
          <w:tcPr>
            <w:tcW w:w="7080" w:type="dxa"/>
            <w:tcBorders>
              <w:tl2br w:val="nil"/>
              <w:tr2bl w:val="nil"/>
            </w:tcBorders>
            <w:vAlign w:val="center"/>
          </w:tcPr>
          <w:p w14:paraId="0D0E9D4A">
            <w:pPr>
              <w:pStyle w:val="29"/>
              <w:numPr>
                <w:ilvl w:val="0"/>
                <w:numId w:val="0"/>
              </w:numPr>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90万，超出则为废标。</w:t>
            </w:r>
          </w:p>
          <w:p w14:paraId="3C17AA9E">
            <w:pPr>
              <w:pStyle w:val="29"/>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24"/>
                <w:szCs w:val="24"/>
                <w:lang w:val="en-US" w:eastAsia="zh-CN"/>
              </w:rPr>
              <w:t>注：</w:t>
            </w:r>
            <w:bookmarkStart w:id="4" w:name="EBb3d3da382e77423c9f2179e0eb6aee78"/>
            <w:r>
              <w:rPr>
                <w:rFonts w:hint="eastAsia" w:ascii="仿宋_GB2312" w:hAnsi="仿宋_GB2312" w:eastAsia="仿宋_GB2312" w:cs="仿宋_GB2312"/>
                <w:color w:val="auto"/>
                <w:kern w:val="2"/>
                <w:sz w:val="24"/>
                <w:szCs w:val="24"/>
                <w:highlight w:val="white"/>
                <w:lang w:val="en-US" w:eastAsia="zh-CN" w:bidi="ar-SA"/>
              </w:rPr>
              <w:t>“投标报价”为投标总价。本项目投标报价必须包括：本次项目全部内容的费用，费用不管是否在报价人报价书中单列，均视为报价总价中已包括该费用。包括但不限于完成服务所需的材料费、配套该项目提供的技术服务费用、培训服务费、人员差旅费、税金及不可预见费等与本项目相关的全部费用。</w:t>
            </w:r>
            <w:bookmarkEnd w:id="4"/>
          </w:p>
        </w:tc>
      </w:tr>
      <w:tr w14:paraId="770B1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FDF1FBD">
            <w:pPr>
              <w:wordWrap/>
              <w:adjustRightInd w:val="0"/>
              <w:snapToGrid w:val="0"/>
              <w:spacing w:before="157" w:beforeLines="50"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保证金</w:t>
            </w:r>
          </w:p>
        </w:tc>
        <w:tc>
          <w:tcPr>
            <w:tcW w:w="7080" w:type="dxa"/>
            <w:tcBorders>
              <w:tl2br w:val="nil"/>
              <w:tr2bl w:val="nil"/>
            </w:tcBorders>
            <w:vAlign w:val="center"/>
          </w:tcPr>
          <w:p w14:paraId="593363B7">
            <w:pPr>
              <w:pStyle w:val="29"/>
              <w:numPr>
                <w:ilvl w:val="0"/>
                <w:numId w:val="0"/>
              </w:numPr>
              <w:ind w:left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tc>
      </w:tr>
      <w:tr w14:paraId="0E1C36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72A45B1E">
            <w:pPr>
              <w:wordWrap/>
              <w:adjustRightInd w:val="0"/>
              <w:snapToGrid w:val="0"/>
              <w:spacing w:before="157"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竞标人</w:t>
            </w:r>
            <w:r>
              <w:rPr>
                <w:rFonts w:hint="eastAsia" w:ascii="仿宋_GB2312" w:hAnsi="仿宋_GB2312" w:eastAsia="仿宋_GB2312" w:cs="仿宋_GB2312"/>
                <w:sz w:val="32"/>
                <w:szCs w:val="32"/>
              </w:rPr>
              <w:t>资格条件</w:t>
            </w:r>
          </w:p>
        </w:tc>
        <w:tc>
          <w:tcPr>
            <w:tcW w:w="7080" w:type="dxa"/>
            <w:tcBorders>
              <w:tl2br w:val="nil"/>
              <w:tr2bl w:val="nil"/>
            </w:tcBorders>
            <w:vAlign w:val="top"/>
          </w:tcPr>
          <w:p w14:paraId="05F3CA65">
            <w:pPr>
              <w:pStyle w:val="3"/>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000000"/>
                <w:kern w:val="0"/>
                <w:sz w:val="32"/>
                <w:szCs w:val="32"/>
                <w:lang w:val="zh-CN" w:eastAsia="zh-CN" w:bidi="ar-SA"/>
              </w:rPr>
            </w:pPr>
            <w:r>
              <w:rPr>
                <w:rFonts w:hint="eastAsia" w:ascii="仿宋_GB2312" w:hAnsi="仿宋_GB2312" w:eastAsia="仿宋_GB2312" w:cs="仿宋_GB2312"/>
                <w:color w:val="000000"/>
                <w:kern w:val="0"/>
                <w:sz w:val="32"/>
                <w:szCs w:val="32"/>
                <w:lang w:val="en-US" w:eastAsia="zh-CN" w:bidi="ar-SA"/>
              </w:rPr>
              <w:t>（1）资质要求：竞标人</w:t>
            </w:r>
            <w:r>
              <w:rPr>
                <w:rFonts w:hint="eastAsia" w:ascii="仿宋_GB2312" w:hAnsi="仿宋_GB2312" w:eastAsia="仿宋_GB2312" w:cs="仿宋_GB2312"/>
                <w:sz w:val="32"/>
                <w:szCs w:val="32"/>
              </w:rPr>
              <w:t>应具有独立法人资格，经工商部门注册登记的营业执照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SA"/>
              </w:rPr>
              <w:t>须具备建筑工程施工总承包叁级及以上资质，具备履行合同所必需的设备和专业技术能力的证明材料；</w:t>
            </w:r>
          </w:p>
          <w:p w14:paraId="72019804">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zh-CN" w:eastAsia="zh-CN" w:bidi="ar-SA"/>
              </w:rPr>
            </w:pPr>
            <w:r>
              <w:rPr>
                <w:rFonts w:hint="eastAsia" w:ascii="仿宋_GB2312" w:hAnsi="仿宋_GB2312" w:eastAsia="仿宋_GB2312" w:cs="仿宋_GB2312"/>
                <w:color w:val="000000"/>
                <w:kern w:val="0"/>
                <w:sz w:val="32"/>
                <w:szCs w:val="32"/>
                <w:lang w:val="zh-CN" w:eastAsia="zh-CN" w:bidi="ar-SA"/>
              </w:rPr>
              <w:t>（</w:t>
            </w:r>
            <w:r>
              <w:rPr>
                <w:rFonts w:hint="eastAsia"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zh-CN" w:eastAsia="zh-CN" w:bidi="ar-SA"/>
              </w:rPr>
              <w:t>）</w:t>
            </w:r>
            <w:r>
              <w:rPr>
                <w:rFonts w:hint="eastAsia" w:ascii="仿宋_GB2312" w:hAnsi="仿宋_GB2312" w:eastAsia="仿宋_GB2312" w:cs="仿宋_GB2312"/>
                <w:color w:val="000000"/>
                <w:kern w:val="0"/>
                <w:sz w:val="32"/>
                <w:szCs w:val="32"/>
                <w:lang w:val="en-US" w:eastAsia="zh-CN" w:bidi="ar-SA"/>
              </w:rPr>
              <w:t>财务要求：竞标人需提供经有资质的会计事务所或审计机构审计完整的上一年度的财务审计报告，扫描（或复印）件应全面、完整、清晰，财务状况良好。成立年份不足的企业按成立年限提供，成立不满一年的公司提供银行资信证明或验资证明；</w:t>
            </w:r>
          </w:p>
          <w:p w14:paraId="3AD96301">
            <w:pPr>
              <w:pStyle w:val="3"/>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000000"/>
                <w:kern w:val="0"/>
                <w:sz w:val="32"/>
                <w:szCs w:val="32"/>
                <w:lang w:val="zh-CN" w:eastAsia="zh-CN" w:bidi="ar-SA"/>
              </w:rPr>
            </w:pPr>
            <w:r>
              <w:rPr>
                <w:rFonts w:hint="eastAsia" w:ascii="仿宋_GB2312" w:hAnsi="仿宋_GB2312" w:eastAsia="仿宋_GB2312" w:cs="仿宋_GB2312"/>
                <w:color w:val="000000"/>
                <w:kern w:val="0"/>
                <w:sz w:val="32"/>
                <w:szCs w:val="32"/>
                <w:lang w:val="zh-CN" w:eastAsia="zh-CN" w:bidi="ar-SA"/>
              </w:rPr>
              <w:t xml:space="preserve">  （</w:t>
            </w:r>
            <w:r>
              <w:rPr>
                <w:rFonts w:hint="eastAsia"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color w:val="000000"/>
                <w:kern w:val="0"/>
                <w:sz w:val="32"/>
                <w:szCs w:val="32"/>
                <w:lang w:val="zh-CN" w:eastAsia="zh-CN" w:bidi="ar-SA"/>
              </w:rPr>
              <w:t>）</w:t>
            </w:r>
            <w:r>
              <w:rPr>
                <w:rFonts w:hint="eastAsia" w:ascii="仿宋_GB2312" w:hAnsi="仿宋_GB2312" w:eastAsia="仿宋_GB2312" w:cs="仿宋_GB2312"/>
                <w:color w:val="000000"/>
                <w:kern w:val="0"/>
                <w:sz w:val="32"/>
                <w:szCs w:val="32"/>
                <w:lang w:val="en-US" w:eastAsia="zh-CN" w:bidi="ar-SA"/>
              </w:rPr>
              <w:t>信誉要求：提供中华人民共和国最高人民法院官方网址(http://www.court.gov.cn/)“全国法院失信被执行人名单信息公布与查询”（http://shixin.court.gov.cn/）栏目查询结果渠道的查询截图；</w:t>
            </w:r>
          </w:p>
          <w:p w14:paraId="3F7F25A4">
            <w:pPr>
              <w:pStyle w:val="3"/>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（4）单位负责人为同一人或者存在直接控股、管理关系的不同供应商，不得参加同一合同项下的招标活动。否则，皆取消投标资格；</w:t>
            </w:r>
          </w:p>
          <w:p w14:paraId="54756CEC">
            <w:pPr>
              <w:pStyle w:val="12"/>
              <w:ind w:left="0" w:leftChars="0" w:firstLine="0" w:firstLineChars="0"/>
              <w:rPr>
                <w:rFonts w:hint="eastAsia"/>
                <w:lang w:val="en-US" w:eastAsia="zh-CN"/>
              </w:rPr>
            </w:pPr>
            <w:r>
              <w:rPr>
                <w:rFonts w:hint="eastAsia" w:ascii="仿宋_GB2312" w:hAnsi="仿宋_GB2312" w:eastAsia="仿宋_GB2312" w:cs="仿宋_GB2312"/>
                <w:sz w:val="32"/>
                <w:szCs w:val="32"/>
                <w:lang w:val="en-US" w:eastAsia="zh-CN"/>
              </w:rPr>
              <w:t>（5）拟派本项目负责人须具有丰富的施工经验，</w:t>
            </w:r>
            <w:r>
              <w:rPr>
                <w:rFonts w:hint="eastAsia" w:ascii="仿宋_GB2312" w:hAnsi="仿宋_GB2312" w:eastAsia="仿宋_GB2312" w:cs="仿宋_GB2312"/>
                <w:sz w:val="32"/>
                <w:szCs w:val="32"/>
              </w:rPr>
              <w:t>项目负责人需为</w:t>
            </w:r>
            <w:r>
              <w:rPr>
                <w:rFonts w:hint="eastAsia" w:ascii="仿宋_GB2312" w:hAnsi="仿宋_GB2312" w:eastAsia="仿宋_GB2312" w:cs="仿宋_GB2312"/>
                <w:sz w:val="32"/>
                <w:szCs w:val="32"/>
                <w:lang w:val="en-US" w:eastAsia="zh-CN"/>
              </w:rPr>
              <w:t>建筑工程二级及以上</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val="en-US" w:eastAsia="zh-CN"/>
              </w:rPr>
              <w:t>建造</w:t>
            </w:r>
            <w:r>
              <w:rPr>
                <w:rFonts w:hint="eastAsia" w:ascii="仿宋_GB2312" w:hAnsi="仿宋_GB2312" w:eastAsia="仿宋_GB2312" w:cs="仿宋_GB2312"/>
                <w:sz w:val="32"/>
                <w:szCs w:val="32"/>
              </w:rPr>
              <w:t>师</w:t>
            </w:r>
            <w:r>
              <w:rPr>
                <w:rFonts w:hint="eastAsia" w:ascii="仿宋_GB2312" w:hAnsi="仿宋_GB2312" w:eastAsia="仿宋_GB2312" w:cs="仿宋_GB2312"/>
                <w:sz w:val="32"/>
                <w:szCs w:val="32"/>
                <w:lang w:val="en-US" w:eastAsia="zh-CN"/>
              </w:rPr>
              <w:t>；</w:t>
            </w:r>
          </w:p>
          <w:p w14:paraId="7FD64B62">
            <w:pPr>
              <w:pStyle w:val="3"/>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（6）本项目不接受供应商以联合体方式进行投标。</w:t>
            </w:r>
          </w:p>
          <w:p w14:paraId="23D1BC29">
            <w:pPr>
              <w:pStyle w:val="12"/>
              <w:ind w:left="0" w:leftChars="0" w:firstLine="0" w:firstLineChars="0"/>
              <w:rPr>
                <w:rFonts w:hint="eastAsia"/>
                <w:lang w:val="en-US" w:eastAsia="zh-CN"/>
              </w:rPr>
            </w:pPr>
            <w:r>
              <w:rPr>
                <w:rFonts w:hint="eastAsia" w:ascii="仿宋_GB2312" w:hAnsi="仿宋_GB2312" w:eastAsia="仿宋_GB2312" w:cs="仿宋_GB2312"/>
                <w:color w:val="000000"/>
                <w:kern w:val="0"/>
                <w:sz w:val="32"/>
                <w:szCs w:val="32"/>
                <w:lang w:val="en-US" w:eastAsia="zh-CN" w:bidi="ar-SA"/>
              </w:rPr>
              <w:t>（7）提供人员配备表，拟任项目负责人的职称证、注册执业证书等复印件，相关人员职称证、注册执业证书等复印件，出具社保证明。</w:t>
            </w:r>
          </w:p>
        </w:tc>
      </w:tr>
      <w:tr w14:paraId="57E3C5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top"/>
          </w:tcPr>
          <w:p w14:paraId="17A21A65">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是否接收联合体形式</w:t>
            </w:r>
          </w:p>
        </w:tc>
        <w:tc>
          <w:tcPr>
            <w:tcW w:w="7080" w:type="dxa"/>
            <w:tcBorders>
              <w:tl2br w:val="nil"/>
              <w:tr2bl w:val="nil"/>
            </w:tcBorders>
            <w:vAlign w:val="top"/>
          </w:tcPr>
          <w:p w14:paraId="3E12DDE7">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本项目</w:t>
            </w:r>
            <w:r>
              <w:rPr>
                <w:rFonts w:hint="eastAsia" w:ascii="仿宋_GB2312" w:hAnsi="仿宋_GB2312" w:eastAsia="仿宋_GB2312" w:cs="仿宋_GB2312"/>
                <w:color w:val="000000"/>
                <w:kern w:val="0"/>
                <w:sz w:val="32"/>
                <w:szCs w:val="32"/>
                <w:u w:val="single"/>
                <w:lang w:val="en-US" w:eastAsia="zh-CN"/>
              </w:rPr>
              <w:t>不</w:t>
            </w:r>
            <w:r>
              <w:rPr>
                <w:rFonts w:hint="eastAsia" w:ascii="仿宋_GB2312" w:hAnsi="仿宋_GB2312" w:eastAsia="仿宋_GB2312" w:cs="仿宋_GB2312"/>
                <w:color w:val="000000"/>
                <w:kern w:val="0"/>
                <w:sz w:val="32"/>
                <w:szCs w:val="32"/>
                <w:u w:val="single"/>
                <w:lang w:val="zh-CN"/>
              </w:rPr>
              <w:t>接受</w:t>
            </w:r>
            <w:r>
              <w:rPr>
                <w:rFonts w:hint="eastAsia" w:ascii="仿宋_GB2312" w:hAnsi="仿宋_GB2312" w:eastAsia="仿宋_GB2312" w:cs="仿宋_GB2312"/>
                <w:color w:val="000000"/>
                <w:kern w:val="0"/>
                <w:sz w:val="32"/>
                <w:szCs w:val="32"/>
                <w:lang w:val="zh-CN"/>
              </w:rPr>
              <w:t>竞标人以联合体方式进行谈判；</w:t>
            </w:r>
          </w:p>
          <w:p w14:paraId="1C942D83">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zh-CN"/>
              </w:rPr>
              <w:t>接受联合体形式的，联合体应当具备下列条件：</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u w:val="single"/>
                <w:lang w:val="en-US" w:eastAsia="zh-CN"/>
              </w:rPr>
              <w:t>/</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w:t>
            </w:r>
          </w:p>
        </w:tc>
      </w:tr>
      <w:tr w14:paraId="3324D0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11E2F47A">
            <w:pPr>
              <w:wordWrap/>
              <w:adjustRightInd w:val="0"/>
              <w:snapToGrid w:val="0"/>
              <w:spacing w:before="157" w:beforeLines="50" w:line="560" w:lineRule="exact"/>
              <w:jc w:val="center"/>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bCs/>
                <w:sz w:val="32"/>
                <w:szCs w:val="32"/>
                <w:u w:val="none" w:color="auto"/>
              </w:rPr>
              <w:t>谈判文件的实质性变动内容</w:t>
            </w:r>
          </w:p>
        </w:tc>
        <w:tc>
          <w:tcPr>
            <w:tcW w:w="7080" w:type="dxa"/>
            <w:tcBorders>
              <w:tl2br w:val="nil"/>
              <w:tr2bl w:val="nil"/>
            </w:tcBorders>
            <w:vAlign w:val="center"/>
          </w:tcPr>
          <w:p w14:paraId="180A97A8">
            <w:pPr>
              <w:widowControl w:val="0"/>
              <w:wordWrap/>
              <w:adjustRightInd w:val="0"/>
              <w:snapToGrid w:val="0"/>
              <w:spacing w:line="560" w:lineRule="exact"/>
              <w:textAlignment w:val="auto"/>
              <w:rPr>
                <w:rFonts w:hint="eastAsia" w:ascii="仿宋_GB2312" w:hAnsi="仿宋_GB2312" w:eastAsia="仿宋_GB2312" w:cs="仿宋_GB2312"/>
                <w:b w:val="0"/>
                <w:bCs/>
                <w:color w:val="auto"/>
                <w:sz w:val="32"/>
                <w:szCs w:val="32"/>
                <w:u w:val="none" w:color="auto"/>
              </w:rPr>
            </w:pPr>
            <w:r>
              <w:rPr>
                <w:rFonts w:hint="eastAsia" w:ascii="仿宋_GB2312" w:hAnsi="仿宋_GB2312" w:eastAsia="仿宋_GB2312" w:cs="仿宋_GB2312"/>
                <w:sz w:val="32"/>
                <w:szCs w:val="32"/>
                <w:highlight w:val="none"/>
                <w:u w:val="none" w:color="auto"/>
                <w:lang w:val="en-US" w:eastAsia="zh-CN"/>
              </w:rPr>
              <w:t>允许根据谈判工作实际情况，对</w:t>
            </w:r>
            <w:r>
              <w:rPr>
                <w:rFonts w:hint="eastAsia" w:ascii="仿宋_GB2312" w:hAnsi="仿宋_GB2312" w:eastAsia="仿宋_GB2312" w:cs="仿宋_GB2312"/>
                <w:sz w:val="32"/>
                <w:szCs w:val="32"/>
                <w:highlight w:val="none"/>
                <w:u w:val="single" w:color="auto"/>
                <w:lang w:val="en-US" w:eastAsia="zh-CN"/>
              </w:rPr>
              <w:t xml:space="preserve">   /   </w:t>
            </w:r>
            <w:r>
              <w:rPr>
                <w:rFonts w:hint="eastAsia" w:ascii="仿宋_GB2312" w:hAnsi="仿宋_GB2312" w:eastAsia="仿宋_GB2312" w:cs="仿宋_GB2312"/>
                <w:sz w:val="32"/>
                <w:szCs w:val="32"/>
                <w:highlight w:val="none"/>
                <w:u w:val="none" w:color="auto"/>
                <w:lang w:val="en-US" w:eastAsia="zh-CN"/>
              </w:rPr>
              <w:t>内容进行实质性修改（包括技术、服务和合同条款）。</w:t>
            </w:r>
          </w:p>
        </w:tc>
      </w:tr>
      <w:tr w14:paraId="5F806B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0A4E2CF2">
            <w:pPr>
              <w:wordWrap/>
              <w:adjustRightInd w:val="0"/>
              <w:snapToGrid w:val="0"/>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公告发布时间</w:t>
            </w:r>
          </w:p>
        </w:tc>
        <w:tc>
          <w:tcPr>
            <w:tcW w:w="7080" w:type="dxa"/>
            <w:tcBorders>
              <w:tl2br w:val="nil"/>
              <w:tr2bl w:val="nil"/>
            </w:tcBorders>
            <w:vAlign w:val="center"/>
          </w:tcPr>
          <w:p w14:paraId="6ED68B29">
            <w:pPr>
              <w:widowControl w:val="0"/>
              <w:wordWrap/>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FF0000"/>
                <w:kern w:val="0"/>
                <w:sz w:val="32"/>
                <w:szCs w:val="32"/>
                <w:highlight w:val="none"/>
                <w:u w:val="single"/>
                <w:lang w:val="en-US" w:eastAsia="zh-CN"/>
              </w:rPr>
              <w:t xml:space="preserve">2024 </w:t>
            </w:r>
            <w:r>
              <w:rPr>
                <w:rFonts w:hint="eastAsia" w:ascii="仿宋_GB2312" w:hAnsi="仿宋_GB2312" w:eastAsia="仿宋_GB2312" w:cs="仿宋_GB2312"/>
                <w:color w:val="FF0000"/>
                <w:kern w:val="0"/>
                <w:sz w:val="32"/>
                <w:szCs w:val="32"/>
                <w:highlight w:val="none"/>
              </w:rPr>
              <w:t>年</w:t>
            </w:r>
            <w:r>
              <w:rPr>
                <w:rFonts w:hint="eastAsia" w:ascii="仿宋_GB2312" w:hAnsi="仿宋_GB2312" w:eastAsia="仿宋_GB2312" w:cs="仿宋_GB2312"/>
                <w:color w:val="FF0000"/>
                <w:kern w:val="0"/>
                <w:sz w:val="32"/>
                <w:szCs w:val="32"/>
                <w:highlight w:val="none"/>
                <w:u w:val="single"/>
                <w:lang w:val="en-US" w:eastAsia="zh-CN"/>
              </w:rPr>
              <w:t xml:space="preserve"> 10 </w:t>
            </w:r>
            <w:r>
              <w:rPr>
                <w:rFonts w:hint="eastAsia" w:ascii="仿宋_GB2312" w:hAnsi="仿宋_GB2312" w:eastAsia="仿宋_GB2312" w:cs="仿宋_GB2312"/>
                <w:color w:val="FF0000"/>
                <w:kern w:val="0"/>
                <w:sz w:val="32"/>
                <w:szCs w:val="32"/>
                <w:highlight w:val="none"/>
              </w:rPr>
              <w:t>月</w:t>
            </w:r>
            <w:r>
              <w:rPr>
                <w:rFonts w:hint="eastAsia" w:ascii="仿宋_GB2312" w:hAnsi="仿宋_GB2312" w:eastAsia="仿宋_GB2312" w:cs="仿宋_GB2312"/>
                <w:color w:val="FF0000"/>
                <w:kern w:val="0"/>
                <w:sz w:val="32"/>
                <w:szCs w:val="32"/>
                <w:highlight w:val="none"/>
                <w:u w:val="single"/>
                <w:lang w:val="en-US" w:eastAsia="zh-CN"/>
              </w:rPr>
              <w:t xml:space="preserve"> 15 </w:t>
            </w:r>
            <w:r>
              <w:rPr>
                <w:rFonts w:hint="eastAsia" w:ascii="仿宋_GB2312" w:hAnsi="仿宋_GB2312" w:eastAsia="仿宋_GB2312" w:cs="仿宋_GB2312"/>
                <w:color w:val="FF0000"/>
                <w:kern w:val="0"/>
                <w:sz w:val="32"/>
                <w:szCs w:val="32"/>
                <w:highlight w:val="none"/>
              </w:rPr>
              <w:t>日</w:t>
            </w:r>
            <w:r>
              <w:rPr>
                <w:rFonts w:hint="eastAsia" w:ascii="仿宋_GB2312" w:hAnsi="仿宋_GB2312" w:eastAsia="仿宋_GB2312" w:cs="仿宋_GB2312"/>
                <w:color w:val="auto"/>
                <w:kern w:val="0"/>
                <w:sz w:val="32"/>
                <w:szCs w:val="32"/>
                <w:highlight w:val="none"/>
              </w:rPr>
              <w:t>（北京时间）</w:t>
            </w:r>
          </w:p>
        </w:tc>
      </w:tr>
      <w:tr w14:paraId="4E9772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4DB703AB">
            <w:pPr>
              <w:wordWrap/>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时间</w:t>
            </w:r>
          </w:p>
        </w:tc>
        <w:tc>
          <w:tcPr>
            <w:tcW w:w="7080" w:type="dxa"/>
            <w:tcBorders>
              <w:tl2br w:val="nil"/>
              <w:tr2bl w:val="nil"/>
            </w:tcBorders>
            <w:vAlign w:val="top"/>
          </w:tcPr>
          <w:p w14:paraId="5BF07D81">
            <w:pPr>
              <w:widowControl w:val="0"/>
              <w:wordWrap/>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FF0000"/>
                <w:kern w:val="0"/>
                <w:sz w:val="32"/>
                <w:szCs w:val="32"/>
                <w:u w:val="single"/>
                <w:lang w:val="en-US" w:eastAsia="zh-CN"/>
              </w:rPr>
              <w:t>2024</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rPr>
              <w:t>年</w:t>
            </w:r>
            <w:r>
              <w:rPr>
                <w:rFonts w:hint="eastAsia" w:ascii="仿宋_GB2312" w:hAnsi="仿宋_GB2312" w:eastAsia="仿宋_GB2312" w:cs="仿宋_GB2312"/>
                <w:color w:val="FF0000"/>
                <w:kern w:val="0"/>
                <w:sz w:val="32"/>
                <w:szCs w:val="32"/>
                <w:u w:val="single"/>
                <w:lang w:val="en-US" w:eastAsia="zh-CN"/>
              </w:rPr>
              <w:t xml:space="preserve">  10 </w:t>
            </w:r>
            <w:r>
              <w:rPr>
                <w:rFonts w:hint="eastAsia" w:ascii="仿宋_GB2312" w:hAnsi="仿宋_GB2312" w:eastAsia="仿宋_GB2312" w:cs="仿宋_GB2312"/>
                <w:color w:val="FF0000"/>
                <w:kern w:val="0"/>
                <w:sz w:val="32"/>
                <w:szCs w:val="32"/>
              </w:rPr>
              <w:t>月</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u w:val="single"/>
                <w:lang w:val="en-US" w:eastAsia="zh-CN"/>
              </w:rPr>
              <w:t xml:space="preserve"> 16</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rPr>
              <w:t>日</w:t>
            </w:r>
            <w:r>
              <w:rPr>
                <w:rFonts w:hint="eastAsia" w:ascii="仿宋_GB2312" w:hAnsi="仿宋_GB2312" w:eastAsia="仿宋_GB2312" w:cs="仿宋_GB2312"/>
                <w:color w:val="FF0000"/>
                <w:kern w:val="0"/>
                <w:sz w:val="32"/>
                <w:szCs w:val="32"/>
                <w:u w:val="single"/>
                <w:lang w:val="en-US" w:eastAsia="zh-CN"/>
              </w:rPr>
              <w:t xml:space="preserve">  9  </w:t>
            </w:r>
            <w:r>
              <w:rPr>
                <w:rFonts w:hint="eastAsia" w:ascii="仿宋_GB2312" w:hAnsi="仿宋_GB2312" w:eastAsia="仿宋_GB2312" w:cs="仿宋_GB2312"/>
                <w:color w:val="FF0000"/>
                <w:kern w:val="0"/>
                <w:sz w:val="32"/>
                <w:szCs w:val="32"/>
                <w:lang w:val="en-US" w:eastAsia="zh-CN"/>
              </w:rPr>
              <w:t>时</w:t>
            </w:r>
            <w:r>
              <w:rPr>
                <w:rFonts w:hint="eastAsia" w:ascii="仿宋_GB2312" w:hAnsi="仿宋_GB2312" w:eastAsia="仿宋_GB2312" w:cs="仿宋_GB2312"/>
                <w:color w:val="FF0000"/>
                <w:kern w:val="0"/>
                <w:sz w:val="32"/>
                <w:szCs w:val="32"/>
              </w:rPr>
              <w:t>至</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u w:val="single"/>
                <w:lang w:val="en-US" w:eastAsia="zh-CN"/>
              </w:rPr>
              <w:t xml:space="preserve">2024  </w:t>
            </w:r>
            <w:r>
              <w:rPr>
                <w:rFonts w:hint="eastAsia" w:ascii="仿宋_GB2312" w:hAnsi="仿宋_GB2312" w:eastAsia="仿宋_GB2312" w:cs="仿宋_GB2312"/>
                <w:color w:val="FF0000"/>
                <w:kern w:val="0"/>
                <w:sz w:val="32"/>
                <w:szCs w:val="32"/>
              </w:rPr>
              <w:t>年</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u w:val="single"/>
                <w:lang w:val="en-US" w:eastAsia="zh-CN"/>
              </w:rPr>
              <w:t xml:space="preserve"> 10</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rPr>
              <w:t>月</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u w:val="single"/>
                <w:lang w:val="en-US" w:eastAsia="zh-CN"/>
              </w:rPr>
              <w:t>20</w:t>
            </w: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rPr>
              <w:t>日</w:t>
            </w:r>
            <w:r>
              <w:rPr>
                <w:rFonts w:hint="eastAsia" w:ascii="仿宋_GB2312" w:hAnsi="仿宋_GB2312" w:eastAsia="仿宋_GB2312" w:cs="仿宋_GB2312"/>
                <w:color w:val="FF0000"/>
                <w:kern w:val="0"/>
                <w:sz w:val="32"/>
                <w:szCs w:val="32"/>
                <w:u w:val="single"/>
                <w:lang w:val="en-US" w:eastAsia="zh-CN"/>
              </w:rPr>
              <w:t xml:space="preserve">  18  </w:t>
            </w:r>
            <w:r>
              <w:rPr>
                <w:rFonts w:hint="eastAsia" w:ascii="仿宋_GB2312" w:hAnsi="仿宋_GB2312" w:eastAsia="仿宋_GB2312" w:cs="仿宋_GB2312"/>
                <w:color w:val="FF0000"/>
                <w:kern w:val="0"/>
                <w:sz w:val="32"/>
                <w:szCs w:val="32"/>
                <w:u w:val="none"/>
                <w:lang w:val="en-US" w:eastAsia="zh-CN"/>
              </w:rPr>
              <w:t>时</w:t>
            </w:r>
            <w:r>
              <w:rPr>
                <w:rFonts w:hint="eastAsia" w:ascii="仿宋_GB2312" w:hAnsi="仿宋_GB2312" w:eastAsia="仿宋_GB2312" w:cs="仿宋_GB2312"/>
                <w:color w:val="000000"/>
                <w:kern w:val="0"/>
                <w:sz w:val="32"/>
                <w:szCs w:val="32"/>
              </w:rPr>
              <w:t xml:space="preserve">（北京时间）          </w:t>
            </w:r>
          </w:p>
          <w:p w14:paraId="616B69A2">
            <w:pPr>
              <w:widowControl w:val="0"/>
              <w:wordWrap/>
              <w:spacing w:line="560" w:lineRule="exact"/>
              <w:textAlignment w:val="auto"/>
              <w:rPr>
                <w:rFonts w:hint="eastAsia" w:ascii="仿宋_GB2312" w:hAnsi="仿宋_GB2312" w:eastAsia="仿宋_GB2312" w:cs="仿宋_GB2312"/>
                <w:color w:val="000000"/>
                <w:kern w:val="0"/>
                <w:sz w:val="32"/>
                <w:szCs w:val="32"/>
              </w:rPr>
            </w:pPr>
          </w:p>
        </w:tc>
      </w:tr>
      <w:tr w14:paraId="5D23BE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15EC137">
            <w:pPr>
              <w:wordWrap/>
              <w:adjustRightInd w:val="0"/>
              <w:snapToGrid w:val="0"/>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获取方式</w:t>
            </w:r>
          </w:p>
        </w:tc>
        <w:tc>
          <w:tcPr>
            <w:tcW w:w="7080" w:type="dxa"/>
            <w:tcBorders>
              <w:tl2br w:val="nil"/>
              <w:tr2bl w:val="nil"/>
            </w:tcBorders>
            <w:vAlign w:val="center"/>
          </w:tcPr>
          <w:p w14:paraId="1CFB35EC">
            <w:pPr>
              <w:widowControl w:val="0"/>
              <w:tabs>
                <w:tab w:val="left" w:pos="320"/>
              </w:tabs>
              <w:wordWrap/>
              <w:adjustRightInd w:val="0"/>
              <w:snapToGrid w:val="0"/>
              <w:spacing w:line="560" w:lineRule="exac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rPr>
              <w:t>自行在官网下载</w:t>
            </w:r>
          </w:p>
        </w:tc>
      </w:tr>
      <w:tr w14:paraId="12432F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694252C2">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7080" w:type="dxa"/>
            <w:tcBorders>
              <w:tl2br w:val="nil"/>
              <w:tr2bl w:val="nil"/>
            </w:tcBorders>
            <w:vAlign w:val="center"/>
          </w:tcPr>
          <w:p w14:paraId="412FBC1D">
            <w:pPr>
              <w:widowControl w:val="0"/>
              <w:wordWrap/>
              <w:adjustRightInd w:val="0"/>
              <w:snapToGrid w:val="0"/>
              <w:spacing w:line="560" w:lineRule="exact"/>
              <w:jc w:val="both"/>
              <w:textAlignment w:val="auto"/>
              <w:rPr>
                <w:rFonts w:hint="eastAsia"/>
                <w:lang w:val="en-US" w:eastAsia="zh-CN"/>
              </w:rPr>
            </w:pPr>
            <w:r>
              <w:rPr>
                <w:rFonts w:hint="eastAsia" w:ascii="仿宋_GB2312" w:hAnsi="仿宋_GB2312" w:eastAsia="仿宋_GB2312" w:cs="仿宋_GB2312"/>
                <w:sz w:val="32"/>
                <w:szCs w:val="32"/>
                <w:lang w:val="en-US" w:eastAsia="zh-CN"/>
              </w:rPr>
              <w:t>报名联系人：杨先生 17716001865</w:t>
            </w:r>
          </w:p>
        </w:tc>
      </w:tr>
      <w:tr w14:paraId="58CA3B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02CFFF4A">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响应文件有效期</w:t>
            </w:r>
          </w:p>
        </w:tc>
        <w:tc>
          <w:tcPr>
            <w:tcW w:w="7080" w:type="dxa"/>
            <w:tcBorders>
              <w:tl2br w:val="nil"/>
              <w:tr2bl w:val="nil"/>
            </w:tcBorders>
            <w:vAlign w:val="center"/>
          </w:tcPr>
          <w:p w14:paraId="68625264">
            <w:pPr>
              <w:widowControl w:val="0"/>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自谈判提交响应文件截止之日起不少于</w:t>
            </w:r>
            <w:r>
              <w:rPr>
                <w:rFonts w:hint="eastAsia" w:ascii="仿宋_GB2312" w:hAnsi="仿宋_GB2312" w:eastAsia="仿宋_GB2312" w:cs="仿宋_GB2312"/>
                <w:sz w:val="32"/>
                <w:szCs w:val="32"/>
                <w:u w:val="single"/>
                <w:lang w:val="en-US" w:eastAsia="zh-CN"/>
              </w:rPr>
              <w:t xml:space="preserve"> 90   </w:t>
            </w:r>
            <w:r>
              <w:rPr>
                <w:rFonts w:hint="eastAsia" w:ascii="仿宋_GB2312" w:hAnsi="仿宋_GB2312" w:eastAsia="仿宋_GB2312" w:cs="仿宋_GB2312"/>
                <w:sz w:val="32"/>
                <w:szCs w:val="32"/>
                <w:lang w:val="en-US" w:eastAsia="zh-CN"/>
              </w:rPr>
              <w:t>天</w:t>
            </w:r>
          </w:p>
        </w:tc>
      </w:tr>
      <w:tr w14:paraId="2FFE4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1866" w:type="dxa"/>
            <w:tcBorders>
              <w:tl2br w:val="nil"/>
              <w:tr2bl w:val="nil"/>
            </w:tcBorders>
            <w:vAlign w:val="center"/>
          </w:tcPr>
          <w:p w14:paraId="0A231270">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w:t>
            </w:r>
            <w:r>
              <w:rPr>
                <w:rFonts w:hint="eastAsia" w:ascii="仿宋_GB2312" w:hAnsi="仿宋_GB2312" w:eastAsia="仿宋_GB2312" w:cs="仿宋_GB2312"/>
                <w:sz w:val="32"/>
                <w:szCs w:val="32"/>
              </w:rPr>
              <w:t>文件份数</w:t>
            </w:r>
          </w:p>
        </w:tc>
        <w:tc>
          <w:tcPr>
            <w:tcW w:w="7080" w:type="dxa"/>
            <w:tcBorders>
              <w:tl2br w:val="nil"/>
              <w:tr2bl w:val="nil"/>
            </w:tcBorders>
            <w:vAlign w:val="center"/>
          </w:tcPr>
          <w:p w14:paraId="66F34536">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一</w:t>
            </w:r>
            <w:r>
              <w:rPr>
                <w:rFonts w:hint="eastAsia" w:ascii="仿宋_GB2312" w:hAnsi="仿宋_GB2312" w:eastAsia="仿宋_GB2312" w:cs="仿宋_GB2312"/>
                <w:sz w:val="32"/>
                <w:szCs w:val="32"/>
                <w:lang w:val="en-US" w:eastAsia="zh-CN"/>
              </w:rPr>
              <w:t>份正本</w:t>
            </w:r>
          </w:p>
        </w:tc>
      </w:tr>
      <w:tr w14:paraId="58DC7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1130C27">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封套上应载明的信息</w:t>
            </w:r>
          </w:p>
        </w:tc>
        <w:tc>
          <w:tcPr>
            <w:tcW w:w="7080" w:type="dxa"/>
            <w:tcBorders>
              <w:tl2br w:val="nil"/>
              <w:tr2bl w:val="nil"/>
            </w:tcBorders>
            <w:vAlign w:val="center"/>
          </w:tcPr>
          <w:p w14:paraId="102DEA3F">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1.项目名称；</w:t>
            </w:r>
          </w:p>
          <w:p w14:paraId="29C292B0">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2.竞标人名称；</w:t>
            </w:r>
          </w:p>
          <w:p w14:paraId="6D9AF259">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3.响应文件密封情况；</w:t>
            </w:r>
          </w:p>
          <w:p w14:paraId="66128C04">
            <w:pPr>
              <w:widowControl w:val="0"/>
              <w:wordWrap/>
              <w:adjustRightInd w:val="0"/>
              <w:snapToGrid w:val="0"/>
              <w:spacing w:line="560" w:lineRule="exact"/>
              <w:textAlignment w:val="auto"/>
              <w:rPr>
                <w:rFonts w:hint="default"/>
                <w:lang w:val="en-US" w:eastAsia="zh-CN"/>
              </w:rPr>
            </w:pPr>
            <w:r>
              <w:rPr>
                <w:rFonts w:hint="eastAsia" w:ascii="仿宋_GB2312" w:hAnsi="仿宋_GB2312" w:eastAsia="仿宋_GB2312" w:cs="仿宋_GB2312"/>
                <w:color w:val="000000"/>
                <w:kern w:val="0"/>
                <w:sz w:val="32"/>
                <w:szCs w:val="32"/>
                <w:lang w:val="en-US" w:eastAsia="zh-CN"/>
              </w:rPr>
              <w:t>4.应在竞标文件背脊侧填写项目名称、竞标人名称。</w:t>
            </w:r>
          </w:p>
        </w:tc>
      </w:tr>
      <w:tr w14:paraId="1CBEEC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3CA8414F">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响应文件的递交</w:t>
            </w:r>
            <w:r>
              <w:rPr>
                <w:rFonts w:hint="eastAsia" w:ascii="仿宋_GB2312" w:hAnsi="仿宋_GB2312" w:eastAsia="仿宋_GB2312" w:cs="仿宋_GB2312"/>
                <w:sz w:val="32"/>
                <w:szCs w:val="32"/>
                <w:lang w:eastAsia="zh-CN"/>
              </w:rPr>
              <w:t>截止时间</w:t>
            </w:r>
          </w:p>
        </w:tc>
        <w:tc>
          <w:tcPr>
            <w:tcW w:w="7080" w:type="dxa"/>
            <w:tcBorders>
              <w:tl2br w:val="nil"/>
              <w:tr2bl w:val="nil"/>
            </w:tcBorders>
            <w:vAlign w:val="center"/>
          </w:tcPr>
          <w:p w14:paraId="624A3451">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u w:val="single"/>
                <w:lang w:val="en-US" w:eastAsia="zh-CN"/>
              </w:rPr>
              <w:t>2024</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lang w:eastAsia="zh-CN"/>
              </w:rPr>
              <w:t>年</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u w:val="single"/>
                <w:lang w:val="en-US" w:eastAsia="zh-CN"/>
              </w:rPr>
              <w:t>10</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lang w:eastAsia="zh-CN"/>
              </w:rPr>
              <w:t>月</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u w:val="single"/>
                <w:lang w:val="en-US" w:eastAsia="zh-CN"/>
              </w:rPr>
              <w:t>24</w:t>
            </w:r>
            <w:r>
              <w:rPr>
                <w:rFonts w:hint="eastAsia" w:ascii="仿宋_GB2312" w:hAnsi="仿宋_GB2312" w:eastAsia="仿宋_GB2312" w:cs="仿宋_GB2312"/>
                <w:b w:val="0"/>
                <w:bCs w:val="0"/>
                <w:color w:val="FF0000"/>
                <w:sz w:val="32"/>
                <w:szCs w:val="32"/>
                <w:lang w:eastAsia="zh-CN"/>
              </w:rPr>
              <w:t>日</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u w:val="single"/>
                <w:lang w:val="en-US" w:eastAsia="zh-CN"/>
              </w:rPr>
              <w:t>9</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lang w:eastAsia="zh-CN"/>
              </w:rPr>
              <w:t>时</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u w:val="single"/>
                <w:lang w:val="en-US" w:eastAsia="zh-CN"/>
              </w:rPr>
              <w:t>30</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lang w:eastAsia="zh-CN"/>
              </w:rPr>
              <w:t>分</w:t>
            </w:r>
            <w:r>
              <w:rPr>
                <w:rFonts w:hint="eastAsia" w:ascii="仿宋_GB2312" w:hAnsi="仿宋_GB2312" w:eastAsia="仿宋_GB2312" w:cs="仿宋_GB2312"/>
                <w:color w:val="000000"/>
                <w:kern w:val="0"/>
                <w:sz w:val="32"/>
                <w:szCs w:val="32"/>
                <w:lang w:val="zh-CN"/>
              </w:rPr>
              <w:t>（采用北京时间</w:t>
            </w:r>
            <w:r>
              <w:rPr>
                <w:rFonts w:hint="eastAsia" w:ascii="仿宋_GB2312" w:hAnsi="仿宋_GB2312" w:eastAsia="仿宋_GB2312" w:cs="仿宋_GB2312"/>
                <w:color w:val="000000"/>
                <w:kern w:val="0"/>
                <w:sz w:val="32"/>
                <w:szCs w:val="32"/>
                <w:lang w:val="en-US" w:eastAsia="zh-CN"/>
              </w:rPr>
              <w:t>24小时制</w:t>
            </w:r>
            <w:r>
              <w:rPr>
                <w:rFonts w:hint="eastAsia" w:ascii="仿宋_GB2312" w:hAnsi="仿宋_GB2312" w:eastAsia="仿宋_GB2312" w:cs="仿宋_GB2312"/>
                <w:color w:val="000000"/>
                <w:kern w:val="0"/>
                <w:sz w:val="32"/>
                <w:szCs w:val="32"/>
                <w:lang w:val="zh-CN"/>
              </w:rPr>
              <w:t>）</w:t>
            </w:r>
          </w:p>
        </w:tc>
      </w:tr>
      <w:tr w14:paraId="55AA1E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1866" w:type="dxa"/>
            <w:tcBorders>
              <w:tl2br w:val="nil"/>
              <w:tr2bl w:val="nil"/>
            </w:tcBorders>
            <w:vAlign w:val="center"/>
          </w:tcPr>
          <w:p w14:paraId="5F4A13CB">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开启时间及</w:t>
            </w:r>
          </w:p>
          <w:p w14:paraId="53C9B083">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谈判地点</w:t>
            </w:r>
          </w:p>
        </w:tc>
        <w:tc>
          <w:tcPr>
            <w:tcW w:w="7080" w:type="dxa"/>
            <w:tcBorders>
              <w:tl2br w:val="nil"/>
              <w:tr2bl w:val="nil"/>
            </w:tcBorders>
            <w:vAlign w:val="center"/>
          </w:tcPr>
          <w:p w14:paraId="30140249">
            <w:pPr>
              <w:widowControl w:val="0"/>
              <w:numPr>
                <w:ilvl w:val="0"/>
                <w:numId w:val="2"/>
              </w:numPr>
              <w:wordWrap/>
              <w:adjustRightInd w:val="0"/>
              <w:snapToGrid w:val="0"/>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响应文件开启时间：</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color w:val="FF0000"/>
                <w:sz w:val="32"/>
                <w:szCs w:val="32"/>
                <w:u w:val="single"/>
                <w:lang w:val="en-US" w:eastAsia="zh-CN"/>
              </w:rPr>
              <w:t>2024</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lang w:eastAsia="zh-CN"/>
              </w:rPr>
              <w:t>年</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u w:val="single"/>
                <w:lang w:val="en-US" w:eastAsia="zh-CN"/>
              </w:rPr>
              <w:t>10</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lang w:eastAsia="zh-CN"/>
              </w:rPr>
              <w:t>月</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u w:val="single"/>
                <w:lang w:val="en-US" w:eastAsia="zh-CN"/>
              </w:rPr>
              <w:t xml:space="preserve">24 </w:t>
            </w:r>
            <w:r>
              <w:rPr>
                <w:rFonts w:hint="eastAsia" w:ascii="仿宋_GB2312" w:hAnsi="仿宋_GB2312" w:eastAsia="仿宋_GB2312" w:cs="仿宋_GB2312"/>
                <w:b w:val="0"/>
                <w:bCs w:val="0"/>
                <w:color w:val="FF0000"/>
                <w:sz w:val="32"/>
                <w:szCs w:val="32"/>
                <w:lang w:eastAsia="zh-CN"/>
              </w:rPr>
              <w:t>日</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u w:val="single"/>
                <w:lang w:val="en-US" w:eastAsia="zh-CN"/>
              </w:rPr>
              <w:t>9</w:t>
            </w:r>
            <w:r>
              <w:rPr>
                <w:rFonts w:hint="eastAsia" w:ascii="仿宋_GB2312" w:hAnsi="仿宋_GB2312" w:eastAsia="仿宋_GB2312" w:cs="仿宋_GB2312"/>
                <w:b w:val="0"/>
                <w:bCs w:val="0"/>
                <w:color w:val="FF0000"/>
                <w:sz w:val="32"/>
                <w:szCs w:val="32"/>
                <w:lang w:eastAsia="zh-CN"/>
              </w:rPr>
              <w:t>时</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u w:val="single"/>
                <w:lang w:val="en-US" w:eastAsia="zh-CN"/>
              </w:rPr>
              <w:t>30</w:t>
            </w:r>
            <w:r>
              <w:rPr>
                <w:rFonts w:hint="eastAsia" w:ascii="仿宋_GB2312" w:hAnsi="仿宋_GB2312" w:eastAsia="仿宋_GB2312" w:cs="仿宋_GB2312"/>
                <w:b w:val="0"/>
                <w:bCs w:val="0"/>
                <w:color w:val="FF0000"/>
                <w:sz w:val="32"/>
                <w:szCs w:val="32"/>
                <w:u w:val="single"/>
                <w:lang w:eastAsia="zh-CN"/>
              </w:rPr>
              <w:t xml:space="preserve"> </w:t>
            </w:r>
            <w:r>
              <w:rPr>
                <w:rFonts w:hint="eastAsia" w:ascii="仿宋_GB2312" w:hAnsi="仿宋_GB2312" w:eastAsia="仿宋_GB2312" w:cs="仿宋_GB2312"/>
                <w:b w:val="0"/>
                <w:bCs w:val="0"/>
                <w:color w:val="FF0000"/>
                <w:sz w:val="32"/>
                <w:szCs w:val="32"/>
                <w:lang w:eastAsia="zh-CN"/>
              </w:rPr>
              <w:t>分</w:t>
            </w:r>
            <w:r>
              <w:rPr>
                <w:rFonts w:hint="eastAsia" w:ascii="仿宋_GB2312" w:hAnsi="仿宋_GB2312" w:eastAsia="仿宋_GB2312" w:cs="仿宋_GB2312"/>
                <w:b w:val="0"/>
                <w:bCs w:val="0"/>
                <w:sz w:val="32"/>
                <w:szCs w:val="32"/>
                <w:lang w:eastAsia="zh-CN"/>
              </w:rPr>
              <w:t>（采用北京时间</w:t>
            </w:r>
            <w:r>
              <w:rPr>
                <w:rFonts w:hint="eastAsia" w:ascii="仿宋_GB2312" w:hAnsi="仿宋_GB2312" w:eastAsia="仿宋_GB2312" w:cs="仿宋_GB2312"/>
                <w:b w:val="0"/>
                <w:bCs w:val="0"/>
                <w:sz w:val="32"/>
                <w:szCs w:val="32"/>
                <w:lang w:val="en-US" w:eastAsia="zh-CN"/>
              </w:rPr>
              <w:t>24小时制</w:t>
            </w:r>
            <w:r>
              <w:rPr>
                <w:rFonts w:hint="eastAsia" w:ascii="仿宋_GB2312" w:hAnsi="仿宋_GB2312" w:eastAsia="仿宋_GB2312" w:cs="仿宋_GB2312"/>
                <w:b w:val="0"/>
                <w:bCs w:val="0"/>
                <w:sz w:val="32"/>
                <w:szCs w:val="32"/>
                <w:lang w:eastAsia="zh-CN"/>
              </w:rPr>
              <w:t>）</w:t>
            </w:r>
          </w:p>
          <w:p w14:paraId="768F5C80">
            <w:pPr>
              <w:widowControl w:val="0"/>
              <w:numPr>
                <w:ilvl w:val="0"/>
                <w:numId w:val="2"/>
              </w:numPr>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谈判地点：青海省海西州德令哈市格尔木西路2号柴达木大厦15楼会议室           </w:t>
            </w:r>
          </w:p>
        </w:tc>
      </w:tr>
    </w:tbl>
    <w:p w14:paraId="3C4EE47D">
      <w:pPr>
        <w:rPr>
          <w:rFonts w:hint="eastAsia" w:ascii="华文中宋" w:hAnsi="华文中宋" w:eastAsia="华文中宋" w:cs="华文中宋"/>
          <w:b w:val="0"/>
          <w:bCs w:val="0"/>
          <w:sz w:val="44"/>
          <w:szCs w:val="44"/>
          <w:lang w:val="en-US" w:eastAsia="zh-CN"/>
        </w:rPr>
      </w:pPr>
      <w:bookmarkStart w:id="5" w:name="_Toc68"/>
      <w:bookmarkStart w:id="6" w:name="_Toc29806_WPSOffice_Level1"/>
      <w:bookmarkStart w:id="7" w:name="_Toc25918_WPSOffice_Level1"/>
      <w:bookmarkStart w:id="8" w:name="_Toc7063_WPSOffice_Level1"/>
      <w:bookmarkStart w:id="9" w:name="_Toc29348_WPSOffice_Level1"/>
      <w:bookmarkStart w:id="10" w:name="_Toc13430_WPSOffice_Level1"/>
      <w:bookmarkStart w:id="11" w:name="_Toc19849"/>
      <w:bookmarkStart w:id="12" w:name="_Toc26774_WPSOffice_Level1"/>
      <w:bookmarkStart w:id="13" w:name="_Toc17554"/>
      <w:r>
        <w:rPr>
          <w:rFonts w:hint="eastAsia" w:ascii="华文中宋" w:hAnsi="华文中宋" w:eastAsia="华文中宋" w:cs="华文中宋"/>
          <w:b w:val="0"/>
          <w:bCs w:val="0"/>
          <w:sz w:val="44"/>
          <w:szCs w:val="44"/>
          <w:lang w:val="en-US" w:eastAsia="zh-CN"/>
        </w:rPr>
        <w:br w:type="page"/>
      </w:r>
    </w:p>
    <w:p w14:paraId="1D49C597">
      <w:pPr>
        <w:pStyle w:val="7"/>
        <w:numPr>
          <w:ilvl w:val="0"/>
          <w:numId w:val="0"/>
        </w:numPr>
        <w:wordWrap/>
        <w:adjustRightInd w:val="0"/>
        <w:snapToGrid w:val="0"/>
        <w:spacing w:before="157" w:beforeLines="50" w:line="560" w:lineRule="exact"/>
        <w:jc w:val="center"/>
        <w:outlineLvl w:val="0"/>
        <w:rPr>
          <w:rFonts w:hint="eastAsia" w:ascii="华文中宋" w:hAnsi="华文中宋" w:eastAsia="华文中宋" w:cs="华文中宋"/>
          <w:b w:val="0"/>
          <w:bCs w:val="0"/>
          <w:sz w:val="32"/>
          <w:szCs w:val="32"/>
          <w:lang w:val="en-US" w:eastAsia="zh-CN"/>
        </w:rPr>
      </w:pPr>
      <w:bookmarkStart w:id="14" w:name="_Toc3582"/>
      <w:r>
        <w:rPr>
          <w:rFonts w:hint="eastAsia" w:ascii="华文中宋" w:hAnsi="华文中宋" w:eastAsia="华文中宋" w:cs="华文中宋"/>
          <w:b w:val="0"/>
          <w:bCs w:val="0"/>
          <w:sz w:val="44"/>
          <w:szCs w:val="44"/>
          <w:lang w:val="en-US" w:eastAsia="zh-CN"/>
        </w:rPr>
        <w:t>第二部分  谈判须知</w:t>
      </w:r>
      <w:bookmarkEnd w:id="5"/>
      <w:bookmarkEnd w:id="6"/>
      <w:bookmarkEnd w:id="7"/>
      <w:bookmarkEnd w:id="8"/>
      <w:bookmarkEnd w:id="9"/>
      <w:bookmarkEnd w:id="10"/>
      <w:bookmarkEnd w:id="11"/>
      <w:bookmarkEnd w:id="12"/>
      <w:bookmarkEnd w:id="13"/>
      <w:bookmarkEnd w:id="14"/>
    </w:p>
    <w:p w14:paraId="597C1ACF">
      <w:pPr>
        <w:widowControl w:val="0"/>
        <w:wordWrap/>
        <w:adjustRightInd w:val="0"/>
        <w:snapToGrid w:val="0"/>
        <w:spacing w:before="157" w:beforeLines="50" w:line="560" w:lineRule="exact"/>
        <w:ind w:firstLine="0" w:firstLineChars="0"/>
        <w:jc w:val="center"/>
        <w:textAlignment w:val="auto"/>
        <w:outlineLvl w:val="1"/>
        <w:rPr>
          <w:rFonts w:hint="eastAsia" w:ascii="黑体" w:hAnsi="黑体" w:eastAsia="黑体" w:cs="黑体"/>
          <w:b w:val="0"/>
          <w:bCs w:val="0"/>
          <w:kern w:val="2"/>
          <w:sz w:val="32"/>
          <w:szCs w:val="32"/>
          <w:lang w:val="en-US" w:eastAsia="zh-CN" w:bidi="ar-SA"/>
        </w:rPr>
      </w:pPr>
      <w:bookmarkStart w:id="15" w:name="_Toc34637765"/>
      <w:bookmarkStart w:id="16" w:name="_Toc16562"/>
      <w:bookmarkStart w:id="17" w:name="_Toc25579"/>
      <w:bookmarkStart w:id="18" w:name="_Toc9336"/>
      <w:bookmarkStart w:id="19" w:name="_Toc7063_WPSOffice_Level2"/>
      <w:bookmarkStart w:id="20" w:name="_Toc17019_WPSOffice_Level2"/>
      <w:bookmarkStart w:id="21" w:name="_Toc27795"/>
      <w:bookmarkStart w:id="22" w:name="_Toc29348_WPSOffice_Level2"/>
      <w:r>
        <w:rPr>
          <w:rFonts w:hint="eastAsia" w:ascii="黑体" w:hAnsi="黑体" w:eastAsia="黑体" w:cs="黑体"/>
          <w:b w:val="0"/>
          <w:bCs w:val="0"/>
          <w:kern w:val="2"/>
          <w:sz w:val="32"/>
          <w:szCs w:val="32"/>
          <w:lang w:val="en-US" w:eastAsia="zh-CN" w:bidi="ar-SA"/>
        </w:rPr>
        <w:t>一、说明</w:t>
      </w:r>
      <w:bookmarkEnd w:id="15"/>
      <w:bookmarkEnd w:id="16"/>
      <w:bookmarkEnd w:id="17"/>
      <w:bookmarkEnd w:id="18"/>
      <w:bookmarkEnd w:id="19"/>
      <w:bookmarkEnd w:id="20"/>
      <w:bookmarkEnd w:id="21"/>
      <w:bookmarkEnd w:id="22"/>
    </w:p>
    <w:p w14:paraId="4743D83D">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3" w:name="_Toc7063_WPSOffice_Level3"/>
      <w:bookmarkStart w:id="24" w:name="_Toc29026"/>
      <w:bookmarkStart w:id="25" w:name="_Toc13645"/>
      <w:bookmarkStart w:id="26" w:name="_Toc11775_WPSOffice_Level3"/>
      <w:bookmarkStart w:id="27" w:name="_Toc11521"/>
      <w:r>
        <w:rPr>
          <w:rFonts w:hint="eastAsia" w:ascii="楷体_GB2312" w:hAnsi="楷体_GB2312" w:eastAsia="楷体_GB2312" w:cs="楷体_GB2312"/>
          <w:b/>
          <w:bCs/>
          <w:kern w:val="2"/>
          <w:sz w:val="32"/>
          <w:szCs w:val="32"/>
          <w:lang w:val="en-US" w:eastAsia="zh-CN" w:bidi="ar-SA"/>
        </w:rPr>
        <w:t>1.适用范围</w:t>
      </w:r>
      <w:bookmarkEnd w:id="23"/>
      <w:bookmarkEnd w:id="24"/>
      <w:bookmarkEnd w:id="25"/>
      <w:bookmarkEnd w:id="26"/>
      <w:bookmarkEnd w:id="27"/>
    </w:p>
    <w:p w14:paraId="2B970D67">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文件仅适用于</w:t>
      </w:r>
      <w:r>
        <w:rPr>
          <w:rFonts w:hint="eastAsia" w:ascii="仿宋_GB2312" w:hAnsi="仿宋_GB2312" w:eastAsia="仿宋_GB2312" w:cs="仿宋_GB2312"/>
          <w:sz w:val="32"/>
          <w:szCs w:val="32"/>
          <w:lang w:eastAsia="zh-CN"/>
        </w:rPr>
        <w:t>前述</w:t>
      </w:r>
      <w:r>
        <w:rPr>
          <w:rFonts w:hint="eastAsia" w:ascii="仿宋_GB2312" w:hAnsi="仿宋_GB2312" w:eastAsia="仿宋_GB2312" w:cs="仿宋_GB2312"/>
          <w:b/>
          <w:sz w:val="32"/>
          <w:szCs w:val="32"/>
        </w:rPr>
        <w:t>【谈判须知前附表】</w:t>
      </w:r>
      <w:r>
        <w:rPr>
          <w:rFonts w:hint="eastAsia" w:ascii="仿宋_GB2312" w:hAnsi="仿宋_GB2312" w:eastAsia="仿宋_GB2312" w:cs="仿宋_GB2312"/>
          <w:sz w:val="32"/>
          <w:szCs w:val="32"/>
        </w:rPr>
        <w:t>中所叙述项目。</w:t>
      </w:r>
    </w:p>
    <w:p w14:paraId="0820B7FE">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8" w:name="_Toc3483"/>
      <w:bookmarkStart w:id="29" w:name="_Toc2404_WPSOffice_Level3"/>
      <w:bookmarkStart w:id="30" w:name="_Toc1646"/>
      <w:bookmarkStart w:id="31" w:name="_Toc12080"/>
      <w:bookmarkStart w:id="32" w:name="_Toc15754_WPSOffice_Level3"/>
      <w:r>
        <w:rPr>
          <w:rFonts w:hint="eastAsia" w:ascii="楷体_GB2312" w:hAnsi="楷体_GB2312" w:eastAsia="楷体_GB2312" w:cs="楷体_GB2312"/>
          <w:b/>
          <w:bCs/>
          <w:kern w:val="2"/>
          <w:sz w:val="32"/>
          <w:szCs w:val="32"/>
          <w:lang w:val="en-US" w:eastAsia="zh-CN" w:bidi="ar-SA"/>
        </w:rPr>
        <w:t>2.招标人</w:t>
      </w:r>
      <w:bookmarkEnd w:id="28"/>
      <w:bookmarkEnd w:id="29"/>
      <w:bookmarkEnd w:id="30"/>
      <w:bookmarkEnd w:id="31"/>
      <w:bookmarkEnd w:id="32"/>
    </w:p>
    <w:p w14:paraId="05395852">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2.1招标人</w:t>
      </w:r>
      <w:r>
        <w:rPr>
          <w:rFonts w:hint="eastAsia" w:ascii="仿宋_GB2312" w:hAnsi="仿宋_GB2312" w:eastAsia="仿宋_GB2312" w:cs="仿宋_GB2312"/>
          <w:sz w:val="32"/>
          <w:szCs w:val="32"/>
        </w:rPr>
        <w:t>名称、地址、电话、联系人见【谈判须知前附表】。</w:t>
      </w:r>
    </w:p>
    <w:p w14:paraId="7F02DAC9">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3" w:name="_Toc8939"/>
      <w:bookmarkStart w:id="34" w:name="_Toc8089_WPSOffice_Level3"/>
      <w:bookmarkStart w:id="35" w:name="_Toc31395"/>
      <w:bookmarkStart w:id="36" w:name="_Toc955_WPSOffice_Level3"/>
      <w:bookmarkStart w:id="37" w:name="_Toc21695"/>
      <w:r>
        <w:rPr>
          <w:rFonts w:hint="eastAsia" w:ascii="楷体_GB2312" w:hAnsi="楷体_GB2312" w:eastAsia="楷体_GB2312" w:cs="楷体_GB2312"/>
          <w:b/>
          <w:bCs/>
          <w:kern w:val="2"/>
          <w:sz w:val="32"/>
          <w:szCs w:val="32"/>
          <w:lang w:val="en-US" w:eastAsia="zh-CN" w:bidi="ar-SA"/>
        </w:rPr>
        <w:t>3.竞标人的资格要求</w:t>
      </w:r>
      <w:bookmarkEnd w:id="33"/>
      <w:bookmarkEnd w:id="34"/>
      <w:bookmarkEnd w:id="35"/>
      <w:bookmarkEnd w:id="36"/>
      <w:bookmarkEnd w:id="37"/>
    </w:p>
    <w:p w14:paraId="5B6DA31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3.1竞标人是指响应谈判文件要求、参加竞争性磋商的法人、其他组织或者自然人。</w:t>
      </w:r>
    </w:p>
    <w:p w14:paraId="365618B8">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3.2竞标人应当符合【谈判须知前附表】规定的竞标人资格条件。</w:t>
      </w:r>
    </w:p>
    <w:p w14:paraId="7794A0F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3.3【谈判须知前附表】规定接受联合体形式的，竞标人除应符合上述资格条件的规定外，还应遵守以下规定： </w:t>
      </w:r>
    </w:p>
    <w:p w14:paraId="11E44DD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（l）联合体中有同类资质的</w:t>
      </w:r>
      <w:r>
        <w:rPr>
          <w:rFonts w:hint="eastAsia" w:ascii="仿宋_GB2312" w:hAnsi="仿宋_GB2312" w:eastAsia="仿宋_GB2312" w:cs="仿宋_GB2312"/>
          <w:sz w:val="32"/>
          <w:szCs w:val="32"/>
          <w:lang w:eastAsia="zh-CN"/>
        </w:rPr>
        <w:t>竞标人</w:t>
      </w:r>
      <w:r>
        <w:rPr>
          <w:rFonts w:hint="eastAsia" w:ascii="仿宋_GB2312" w:hAnsi="仿宋_GB2312" w:eastAsia="仿宋_GB2312" w:cs="仿宋_GB2312"/>
          <w:sz w:val="32"/>
          <w:szCs w:val="32"/>
        </w:rPr>
        <w:t>按照联合体分工承担相同工作的，应当按照资质等级较低的</w:t>
      </w:r>
      <w:r>
        <w:rPr>
          <w:rFonts w:hint="eastAsia" w:ascii="仿宋_GB2312" w:hAnsi="仿宋_GB2312" w:eastAsia="仿宋_GB2312" w:cs="仿宋_GB2312"/>
          <w:sz w:val="32"/>
          <w:szCs w:val="32"/>
          <w:lang w:eastAsia="zh-CN"/>
        </w:rPr>
        <w:t>竞标人</w:t>
      </w:r>
      <w:r>
        <w:rPr>
          <w:rFonts w:hint="eastAsia" w:ascii="仿宋_GB2312" w:hAnsi="仿宋_GB2312" w:eastAsia="仿宋_GB2312" w:cs="仿宋_GB2312"/>
          <w:sz w:val="32"/>
          <w:szCs w:val="32"/>
        </w:rPr>
        <w:t>确定资质等级。</w:t>
      </w:r>
    </w:p>
    <w:p w14:paraId="35F4B06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（2）联合体各方应按谈判文件提供的格式签订联合体协议书，明确联合体牵头人和各方的权利义务、合同工作量比例；</w:t>
      </w:r>
    </w:p>
    <w:p w14:paraId="57D9111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（3）联合体各方签订联合体协议书后，</w:t>
      </w:r>
      <w:r>
        <w:rPr>
          <w:rFonts w:hint="eastAsia" w:ascii="仿宋_GB2312" w:hAnsi="仿宋_GB2312" w:eastAsia="仿宋_GB2312" w:cs="仿宋_GB2312"/>
          <w:sz w:val="32"/>
          <w:szCs w:val="32"/>
          <w:lang w:val="zh-CN"/>
        </w:rPr>
        <w:t>不得再单独参加或者与其他竞标人组成新的联合体参加同一合同项下的采购活动。</w:t>
      </w:r>
    </w:p>
    <w:p w14:paraId="50F3A379">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8" w:name="_Toc15386"/>
      <w:bookmarkStart w:id="39" w:name="_Toc18921"/>
      <w:bookmarkStart w:id="40" w:name="_Toc15758"/>
      <w:bookmarkStart w:id="41" w:name="_Toc24112_WPSOffice_Level3"/>
      <w:bookmarkStart w:id="42" w:name="_Toc29322_WPSOffice_Level3"/>
      <w:r>
        <w:rPr>
          <w:rFonts w:hint="eastAsia" w:ascii="楷体_GB2312" w:hAnsi="楷体_GB2312" w:eastAsia="楷体_GB2312" w:cs="楷体_GB2312"/>
          <w:b/>
          <w:bCs/>
          <w:kern w:val="2"/>
          <w:sz w:val="32"/>
          <w:szCs w:val="32"/>
          <w:lang w:val="en-US" w:eastAsia="zh-CN" w:bidi="ar-SA"/>
        </w:rPr>
        <w:t>4.谈判费用</w:t>
      </w:r>
      <w:bookmarkEnd w:id="38"/>
      <w:bookmarkEnd w:id="39"/>
      <w:bookmarkEnd w:id="40"/>
      <w:bookmarkEnd w:id="41"/>
      <w:bookmarkEnd w:id="42"/>
      <w:r>
        <w:rPr>
          <w:rFonts w:hint="eastAsia" w:ascii="楷体_GB2312" w:hAnsi="楷体_GB2312" w:eastAsia="楷体_GB2312" w:cs="楷体_GB2312"/>
          <w:b/>
          <w:bCs/>
          <w:kern w:val="2"/>
          <w:sz w:val="32"/>
          <w:szCs w:val="32"/>
          <w:lang w:val="en-US" w:eastAsia="zh-CN" w:bidi="ar-SA"/>
        </w:rPr>
        <w:t xml:space="preserve"> </w:t>
      </w:r>
    </w:p>
    <w:p w14:paraId="50317260">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无论谈判的结果如何，</w:t>
      </w:r>
      <w:r>
        <w:rPr>
          <w:rFonts w:hint="eastAsia" w:ascii="仿宋_GB2312" w:hAnsi="仿宋_GB2312" w:eastAsia="仿宋_GB2312" w:cs="仿宋_GB2312"/>
          <w:sz w:val="32"/>
          <w:szCs w:val="32"/>
          <w:lang w:eastAsia="zh-CN"/>
        </w:rPr>
        <w:t>竞标人</w:t>
      </w:r>
      <w:r>
        <w:rPr>
          <w:rFonts w:hint="eastAsia" w:ascii="仿宋_GB2312" w:hAnsi="仿宋_GB2312" w:eastAsia="仿宋_GB2312" w:cs="仿宋_GB2312"/>
          <w:sz w:val="32"/>
          <w:szCs w:val="32"/>
        </w:rPr>
        <w:t>应自行承担所有与竞争性</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活动有关的全部费用。</w:t>
      </w:r>
    </w:p>
    <w:p w14:paraId="39AF5C6E">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lang w:val="en-US" w:eastAsia="zh-CN" w:bidi="ar-SA"/>
        </w:rPr>
      </w:pPr>
      <w:bookmarkStart w:id="43" w:name="_Toc19663_WPSOffice_Level2"/>
      <w:bookmarkStart w:id="44" w:name="_Toc24182"/>
      <w:bookmarkStart w:id="45" w:name="_Toc7712"/>
      <w:bookmarkStart w:id="46" w:name="_Toc24356"/>
      <w:bookmarkStart w:id="47" w:name="_Toc28758"/>
      <w:bookmarkStart w:id="48" w:name="_Toc34637766"/>
      <w:bookmarkStart w:id="49" w:name="_Toc4912_WPSOffice_Level2"/>
      <w:bookmarkStart w:id="50" w:name="_Toc2404_WPSOffice_Level2"/>
      <w:r>
        <w:rPr>
          <w:rFonts w:hint="eastAsia" w:ascii="黑体" w:hAnsi="黑体" w:eastAsia="黑体" w:cs="黑体"/>
          <w:b w:val="0"/>
          <w:bCs w:val="0"/>
          <w:kern w:val="2"/>
          <w:sz w:val="32"/>
          <w:szCs w:val="32"/>
          <w:lang w:val="en-US" w:eastAsia="zh-CN" w:bidi="ar-SA"/>
        </w:rPr>
        <w:t>二、谈判文件</w:t>
      </w:r>
      <w:bookmarkEnd w:id="43"/>
      <w:bookmarkEnd w:id="44"/>
      <w:bookmarkEnd w:id="45"/>
      <w:bookmarkEnd w:id="46"/>
      <w:bookmarkEnd w:id="47"/>
      <w:bookmarkEnd w:id="48"/>
      <w:bookmarkEnd w:id="49"/>
      <w:bookmarkEnd w:id="50"/>
    </w:p>
    <w:p w14:paraId="71E5004A">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1" w:name="_Toc27245"/>
      <w:bookmarkStart w:id="52" w:name="_Toc18786_WPSOffice_Level3"/>
      <w:bookmarkStart w:id="53" w:name="_Toc14464"/>
      <w:bookmarkStart w:id="54" w:name="_Toc1826"/>
      <w:bookmarkStart w:id="55" w:name="_Toc29785_WPSOffice_Level3"/>
      <w:r>
        <w:rPr>
          <w:rFonts w:hint="eastAsia" w:ascii="楷体_GB2312" w:hAnsi="楷体_GB2312" w:eastAsia="楷体_GB2312" w:cs="楷体_GB2312"/>
          <w:b/>
          <w:bCs/>
          <w:kern w:val="2"/>
          <w:sz w:val="32"/>
          <w:szCs w:val="32"/>
          <w:lang w:val="en-US" w:eastAsia="zh-CN" w:bidi="ar-SA"/>
        </w:rPr>
        <w:t>5.谈判文件的组成</w:t>
      </w:r>
      <w:bookmarkEnd w:id="51"/>
      <w:bookmarkEnd w:id="52"/>
      <w:bookmarkEnd w:id="53"/>
      <w:bookmarkEnd w:id="54"/>
      <w:bookmarkEnd w:id="55"/>
    </w:p>
    <w:p w14:paraId="0583BC7C">
      <w:pPr>
        <w:pStyle w:val="14"/>
        <w:widowControl w:val="0"/>
        <w:wordWrap/>
        <w:adjustRightInd w:val="0"/>
        <w:snapToGrid w:val="0"/>
        <w:spacing w:line="560" w:lineRule="exact"/>
        <w:ind w:firstLine="640" w:firstLineChars="200"/>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5.1谈判文件由下列文件组成：</w:t>
      </w:r>
    </w:p>
    <w:p w14:paraId="5A2813C1">
      <w:pPr>
        <w:pStyle w:val="14"/>
        <w:widowControl w:val="0"/>
        <w:numPr>
          <w:ilvl w:val="0"/>
          <w:numId w:val="3"/>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谈判公告</w:t>
      </w:r>
    </w:p>
    <w:p w14:paraId="36C1EA23">
      <w:pPr>
        <w:pStyle w:val="14"/>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（2）谈判须知</w:t>
      </w:r>
    </w:p>
    <w:p w14:paraId="36828289">
      <w:pPr>
        <w:pStyle w:val="14"/>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（3）服务需求</w:t>
      </w:r>
    </w:p>
    <w:p w14:paraId="46845941">
      <w:pPr>
        <w:pStyle w:val="14"/>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（4）谈判响应文件格式</w:t>
      </w:r>
    </w:p>
    <w:p w14:paraId="1093E602">
      <w:pPr>
        <w:pStyle w:val="14"/>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5.2招标人在提交首次响应文件截止之日前对已发出的谈判文件进行的澄清或者修改，构成谈判文件的组成部分。</w:t>
      </w:r>
    </w:p>
    <w:p w14:paraId="14C1C2C7">
      <w:pPr>
        <w:pStyle w:val="14"/>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5.3谈判文件中，谈判小组根据与竞标人谈判情况可能实质性变动的内容见【谈判须知前附表】。对谈判文件作出的实质性变动是谈判文件的有效组成部分。</w:t>
      </w:r>
    </w:p>
    <w:p w14:paraId="327EF1FE">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6" w:name="_Toc18056"/>
      <w:bookmarkStart w:id="57" w:name="_Toc31604_WPSOffice_Level3"/>
      <w:bookmarkStart w:id="58" w:name="_Toc25455_WPSOffice_Level3"/>
      <w:bookmarkStart w:id="59" w:name="_Toc32040"/>
      <w:bookmarkStart w:id="60" w:name="_Toc1317"/>
      <w:r>
        <w:rPr>
          <w:rFonts w:hint="eastAsia" w:ascii="楷体_GB2312" w:hAnsi="楷体_GB2312" w:eastAsia="楷体_GB2312" w:cs="楷体_GB2312"/>
          <w:b/>
          <w:bCs/>
          <w:kern w:val="2"/>
          <w:sz w:val="32"/>
          <w:szCs w:val="32"/>
          <w:lang w:val="en-US" w:eastAsia="zh-CN" w:bidi="ar-SA"/>
        </w:rPr>
        <w:t>6.谈判文件的澄清</w:t>
      </w:r>
      <w:r>
        <w:rPr>
          <w:rFonts w:hint="eastAsia" w:ascii="楷体_GB2312" w:hAnsi="楷体_GB2312" w:eastAsia="楷体_GB2312" w:cs="楷体_GB2312"/>
          <w:b/>
          <w:bCs/>
          <w:kern w:val="2"/>
          <w:sz w:val="32"/>
          <w:szCs w:val="32"/>
          <w:lang w:val="zh-CN" w:eastAsia="zh-CN" w:bidi="ar-SA"/>
        </w:rPr>
        <w:t>或者</w:t>
      </w:r>
      <w:r>
        <w:rPr>
          <w:rFonts w:hint="eastAsia" w:ascii="楷体_GB2312" w:hAnsi="楷体_GB2312" w:eastAsia="楷体_GB2312" w:cs="楷体_GB2312"/>
          <w:b/>
          <w:bCs/>
          <w:kern w:val="2"/>
          <w:sz w:val="32"/>
          <w:szCs w:val="32"/>
          <w:lang w:val="en-US" w:eastAsia="zh-CN" w:bidi="ar-SA"/>
        </w:rPr>
        <w:t>修改</w:t>
      </w:r>
      <w:bookmarkEnd w:id="56"/>
      <w:bookmarkEnd w:id="57"/>
      <w:bookmarkEnd w:id="58"/>
      <w:bookmarkEnd w:id="59"/>
      <w:bookmarkEnd w:id="60"/>
    </w:p>
    <w:p w14:paraId="56542E8F">
      <w:pPr>
        <w:pStyle w:val="14"/>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6.1在提交首次响应文件截止之日前，招标人可以对已发出的谈判文件进行必要的澄清或者修改。</w:t>
      </w:r>
    </w:p>
    <w:p w14:paraId="02E25F65">
      <w:pPr>
        <w:pStyle w:val="14"/>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澄清或者修改的内容可能影响响应文件编制的，招标人应当在提交首次响应文件截止之日3个工作日前，以书面或者电子邮件形式通知所有接收谈判文件的竞标人，不足3个工作日的，顺延竞标人提交首次响应文件截止时间。</w:t>
      </w:r>
    </w:p>
    <w:p w14:paraId="2CE9225A">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61" w:name="_Toc22786"/>
      <w:bookmarkStart w:id="62" w:name="_Toc30"/>
      <w:bookmarkStart w:id="63" w:name="_Toc27004"/>
      <w:bookmarkStart w:id="64" w:name="_Toc6866_WPSOffice_Level3"/>
      <w:bookmarkStart w:id="65" w:name="_Toc25126"/>
      <w:bookmarkStart w:id="66" w:name="_Toc4138_WPSOffice_Level3"/>
      <w:bookmarkStart w:id="67" w:name="_Toc34637767"/>
      <w:r>
        <w:rPr>
          <w:rFonts w:hint="eastAsia" w:ascii="楷体_GB2312" w:hAnsi="楷体_GB2312" w:eastAsia="楷体_GB2312" w:cs="楷体_GB2312"/>
          <w:b/>
          <w:bCs/>
          <w:kern w:val="2"/>
          <w:sz w:val="32"/>
          <w:szCs w:val="32"/>
          <w:lang w:val="en-US" w:eastAsia="zh-CN" w:bidi="ar-SA"/>
        </w:rPr>
        <w:t>7.谈判文件的询问或质疑</w:t>
      </w:r>
      <w:bookmarkEnd w:id="61"/>
      <w:bookmarkEnd w:id="62"/>
      <w:bookmarkEnd w:id="63"/>
      <w:bookmarkEnd w:id="64"/>
      <w:bookmarkEnd w:id="65"/>
      <w:bookmarkEnd w:id="66"/>
    </w:p>
    <w:p w14:paraId="69DB45FC">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7.1竞标人对谈判文件有疑问的，可以向招标人提出询问。</w:t>
      </w:r>
    </w:p>
    <w:p w14:paraId="5920581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7.2对谈判文件提出质疑的竞标人，应当在获取采购文件或者谈判文件公告期限届满之日起3个工作日内，按法律法规及其规章的规定向招标人书面提出质疑。</w:t>
      </w:r>
    </w:p>
    <w:p w14:paraId="60B82714">
      <w:pPr>
        <w:widowControl w:val="0"/>
        <w:wordWrap/>
        <w:adjustRightInd w:val="0"/>
        <w:snapToGrid w:val="0"/>
        <w:spacing w:before="157" w:beforeLines="50" w:line="560" w:lineRule="exact"/>
        <w:ind w:firstLine="640" w:firstLineChars="200"/>
        <w:jc w:val="center"/>
        <w:textAlignment w:val="auto"/>
        <w:outlineLvl w:val="1"/>
        <w:rPr>
          <w:rFonts w:hint="eastAsia" w:ascii="黑体" w:hAnsi="黑体" w:eastAsia="黑体" w:cs="黑体"/>
          <w:kern w:val="2"/>
          <w:sz w:val="32"/>
          <w:szCs w:val="32"/>
          <w:lang w:val="en-US" w:eastAsia="zh-CN" w:bidi="ar-SA"/>
        </w:rPr>
      </w:pPr>
      <w:bookmarkStart w:id="68" w:name="_Toc22661"/>
      <w:bookmarkStart w:id="69" w:name="_Toc16902"/>
      <w:bookmarkStart w:id="70" w:name="_Toc23235_WPSOffice_Level2"/>
      <w:bookmarkStart w:id="71" w:name="_Toc5732_WPSOffice_Level2"/>
      <w:bookmarkStart w:id="72" w:name="_Toc28815"/>
      <w:bookmarkStart w:id="73" w:name="_Toc955_WPSOffice_Level2"/>
      <w:r>
        <w:rPr>
          <w:rFonts w:hint="eastAsia" w:ascii="黑体" w:hAnsi="黑体" w:eastAsia="黑体" w:cs="黑体"/>
          <w:kern w:val="2"/>
          <w:sz w:val="32"/>
          <w:szCs w:val="32"/>
          <w:lang w:val="en-US" w:eastAsia="zh-CN" w:bidi="ar-SA"/>
        </w:rPr>
        <w:t>三、响应文件</w:t>
      </w:r>
      <w:bookmarkEnd w:id="67"/>
      <w:bookmarkEnd w:id="68"/>
      <w:bookmarkEnd w:id="69"/>
      <w:bookmarkEnd w:id="70"/>
      <w:bookmarkEnd w:id="71"/>
      <w:bookmarkEnd w:id="72"/>
      <w:bookmarkEnd w:id="73"/>
    </w:p>
    <w:p w14:paraId="43CA6975">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74" w:name="_Toc29496"/>
      <w:bookmarkStart w:id="75" w:name="_Toc2475"/>
      <w:bookmarkStart w:id="76" w:name="_Toc1096_WPSOffice_Level3"/>
      <w:bookmarkStart w:id="77" w:name="_Toc17983"/>
      <w:bookmarkStart w:id="78" w:name="_Toc22063"/>
      <w:bookmarkStart w:id="79" w:name="_Toc10843_WPSOffice_Level3"/>
      <w:r>
        <w:rPr>
          <w:rFonts w:hint="eastAsia" w:ascii="楷体_GB2312" w:hAnsi="楷体_GB2312" w:eastAsia="楷体_GB2312" w:cs="楷体_GB2312"/>
          <w:b/>
          <w:bCs/>
          <w:kern w:val="2"/>
          <w:sz w:val="32"/>
          <w:szCs w:val="32"/>
          <w:lang w:val="en-US" w:eastAsia="zh-CN" w:bidi="ar-SA"/>
        </w:rPr>
        <w:t>8.一般要求</w:t>
      </w:r>
      <w:bookmarkEnd w:id="74"/>
      <w:bookmarkEnd w:id="75"/>
      <w:bookmarkEnd w:id="76"/>
      <w:bookmarkEnd w:id="77"/>
      <w:bookmarkEnd w:id="78"/>
      <w:bookmarkEnd w:id="79"/>
    </w:p>
    <w:p w14:paraId="3E10F2A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8.1竞标人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竞标人承担。</w:t>
      </w:r>
    </w:p>
    <w:p w14:paraId="1961C46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8.2竞标人提交的响应文件及竞标人与招标人就有关谈判的所有来往函电均使用中文。附有外文资料的，须翻译成中文并加盖竞标人公章，若翻译的中文资料与外文资料存在差异和矛盾，则以中文资料为准。其准确性由竞标人负责。</w:t>
      </w:r>
    </w:p>
    <w:p w14:paraId="73F014F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8.3除谈判文件中另有规定外，谈判响应文件所使用的度量衡单位，均须采用国家法定计量单位。未列明时应默认为我国法定计量单位。</w:t>
      </w:r>
    </w:p>
    <w:p w14:paraId="234CE4E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8.4响应文件应采用书面形式，电报、传真、电子邮件形式的响应文件概不接受。</w:t>
      </w:r>
    </w:p>
    <w:p w14:paraId="3837DC54">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8.5竞标人应按谈判文件中提供的响应文件格式进行填写。</w:t>
      </w:r>
    </w:p>
    <w:p w14:paraId="7378A976">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0" w:name="_Toc16030"/>
      <w:bookmarkStart w:id="81" w:name="_Toc8222"/>
      <w:bookmarkStart w:id="82" w:name="_Toc20423_WPSOffice_Level3"/>
      <w:bookmarkStart w:id="83" w:name="_Toc12007"/>
      <w:bookmarkStart w:id="84" w:name="_Toc14527_WPSOffice_Level3"/>
      <w:r>
        <w:rPr>
          <w:rFonts w:hint="eastAsia" w:ascii="楷体_GB2312" w:hAnsi="楷体_GB2312" w:eastAsia="楷体_GB2312" w:cs="楷体_GB2312"/>
          <w:b/>
          <w:bCs/>
          <w:kern w:val="2"/>
          <w:sz w:val="32"/>
          <w:szCs w:val="32"/>
          <w:lang w:val="en-US" w:eastAsia="zh-CN" w:bidi="ar-SA"/>
        </w:rPr>
        <w:t>9.报价要求</w:t>
      </w:r>
      <w:bookmarkEnd w:id="80"/>
      <w:bookmarkEnd w:id="81"/>
      <w:bookmarkEnd w:id="82"/>
      <w:bookmarkEnd w:id="83"/>
      <w:bookmarkEnd w:id="84"/>
    </w:p>
    <w:p w14:paraId="5ABE9B80">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9.1竞标人应当根据谈判文件逐一报价；</w:t>
      </w:r>
    </w:p>
    <w:p w14:paraId="00DD7DB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9.2在首次报价表、最后报价表填写报价时应注意下列要求：</w:t>
      </w:r>
    </w:p>
    <w:p w14:paraId="5FA42AD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（1）要求的</w:t>
      </w:r>
      <w:r>
        <w:rPr>
          <w:rFonts w:hint="eastAsia" w:ascii="仿宋_GB2312" w:hAnsi="仿宋_GB2312" w:eastAsia="仿宋_GB2312" w:cs="仿宋_GB2312"/>
          <w:kern w:val="2"/>
          <w:sz w:val="32"/>
          <w:szCs w:val="32"/>
          <w:u w:val="single" w:color="auto"/>
          <w:lang w:val="en-US" w:eastAsia="zh-CN" w:bidi="ar-SA"/>
        </w:rPr>
        <w:t>材料费、配套该项目提供的技术服务费用、设备费、服务费、税金等其它附</w:t>
      </w:r>
      <w:r>
        <w:rPr>
          <w:rFonts w:hint="eastAsia" w:ascii="仿宋_GB2312" w:hAnsi="仿宋_GB2312" w:eastAsia="仿宋_GB2312" w:cs="仿宋_GB2312"/>
          <w:kern w:val="2"/>
          <w:sz w:val="32"/>
          <w:szCs w:val="32"/>
          <w:lang w:val="en-US" w:eastAsia="zh-CN" w:bidi="ar-SA"/>
        </w:rPr>
        <w:t>加服务的费用。</w:t>
      </w:r>
    </w:p>
    <w:p w14:paraId="056AABF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（2）所有根据合同或其它原因应由竞标人交纳和支付的税款和费用。</w:t>
      </w:r>
    </w:p>
    <w:p w14:paraId="3B1F085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（3）竞标人报价应为完成本竞争性谈判文件中所要求的货物/服务/工程所应包括内容的所有价格。</w:t>
      </w:r>
    </w:p>
    <w:p w14:paraId="36B0269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9.3</w:t>
      </w:r>
      <w:r>
        <w:rPr>
          <w:rFonts w:hint="eastAsia" w:ascii="仿宋_GB2312" w:hAnsi="仿宋_GB2312" w:eastAsia="仿宋_GB2312" w:cs="仿宋_GB2312"/>
          <w:kern w:val="2"/>
          <w:sz w:val="32"/>
          <w:szCs w:val="32"/>
          <w:lang w:val="zh-CN" w:eastAsia="zh-CN" w:bidi="ar-SA"/>
        </w:rPr>
        <w:t>竞标人</w:t>
      </w:r>
      <w:r>
        <w:rPr>
          <w:rFonts w:hint="eastAsia" w:ascii="仿宋_GB2312" w:hAnsi="仿宋_GB2312" w:eastAsia="仿宋_GB2312" w:cs="仿宋_GB2312"/>
          <w:kern w:val="2"/>
          <w:sz w:val="32"/>
          <w:szCs w:val="32"/>
          <w:lang w:val="en-US" w:eastAsia="zh-CN" w:bidi="ar-SA"/>
        </w:rPr>
        <w:t>的每次报价均不得超过采项目限价（若有），否则视为无效响应。项目限价见【谈判须知前附表】。</w:t>
      </w:r>
    </w:p>
    <w:p w14:paraId="198EE14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9.4竞标人提交的最后报价在合同执行过程中是固定不变的，不得以任何理由予以变更。以可变动价格提交的报价将被认为是非实质响应而被拒绝。</w:t>
      </w:r>
    </w:p>
    <w:p w14:paraId="3F08765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9.5谈判报价为总价。竞标人须按要求填写谈判总报价，最后报价不得出现两个或两个以上的报价方案。 </w:t>
      </w:r>
    </w:p>
    <w:p w14:paraId="4C2842BC">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9.6报价币种为人民币。</w:t>
      </w:r>
    </w:p>
    <w:p w14:paraId="48622810">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5" w:name="_Toc2137"/>
      <w:bookmarkStart w:id="86" w:name="_Toc30481"/>
      <w:bookmarkStart w:id="87" w:name="_Toc24956_WPSOffice_Level3"/>
      <w:bookmarkStart w:id="88" w:name="_Toc19609_WPSOffice_Level3"/>
      <w:bookmarkStart w:id="89" w:name="_Toc30839"/>
      <w:r>
        <w:rPr>
          <w:rFonts w:hint="eastAsia" w:ascii="楷体_GB2312" w:hAnsi="楷体_GB2312" w:eastAsia="楷体_GB2312" w:cs="楷体_GB2312"/>
          <w:b/>
          <w:bCs/>
          <w:kern w:val="2"/>
          <w:sz w:val="32"/>
          <w:szCs w:val="32"/>
          <w:lang w:val="en-US" w:eastAsia="zh-CN" w:bidi="ar-SA"/>
        </w:rPr>
        <w:t>10.保证金</w:t>
      </w:r>
      <w:bookmarkEnd w:id="85"/>
      <w:bookmarkEnd w:id="86"/>
      <w:bookmarkEnd w:id="87"/>
      <w:bookmarkEnd w:id="88"/>
      <w:bookmarkEnd w:id="89"/>
    </w:p>
    <w:p w14:paraId="2B5EE3A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10.1竞标人应按【谈判须知前附表】的规定，在提交响应文件的截止时间前提交不少于本谈判文件规定的人民币金额的谈判保证金。谈判保证金应当以转账、支票、本票或者金融机构、担保机构出具的保函等非现金形式提交。竞标人未按照谈判文件要求提交谈判保证金的，视为非实质性响应，其响应文件不予接受。谈判保证金所有递交方式均以到账时间为准。</w:t>
      </w:r>
    </w:p>
    <w:p w14:paraId="3BD5B06E">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10.2</w:t>
      </w:r>
      <w:r>
        <w:rPr>
          <w:rFonts w:hint="eastAsia" w:ascii="仿宋_GB2312" w:hAnsi="仿宋_GB2312" w:eastAsia="仿宋_GB2312" w:cs="仿宋_GB2312"/>
          <w:kern w:val="2"/>
          <w:sz w:val="32"/>
          <w:szCs w:val="32"/>
          <w:lang w:val="zh-CN" w:eastAsia="zh-CN" w:bidi="ar-SA"/>
        </w:rPr>
        <w:t>竞标人为联合体的，可以由联合体中的一方或者共同交纳保证金，其交纳的保证金，对联合体各方均具有约束力。</w:t>
      </w:r>
      <w:r>
        <w:rPr>
          <w:rFonts w:hint="eastAsia" w:ascii="仿宋_GB2312" w:hAnsi="仿宋_GB2312" w:eastAsia="仿宋_GB2312" w:cs="仿宋_GB2312"/>
          <w:kern w:val="2"/>
          <w:sz w:val="32"/>
          <w:szCs w:val="32"/>
          <w:lang w:val="en-US" w:eastAsia="zh-CN" w:bidi="ar-SA"/>
        </w:rPr>
        <w:t xml:space="preserve">                                           </w:t>
      </w:r>
    </w:p>
    <w:p w14:paraId="7D667FC5">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10.3保证金的退还按以下规定办理：</w:t>
      </w:r>
    </w:p>
    <w:p w14:paraId="13097AA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（1）成交竞标人的保证金，在合同签订后5个工作日内退还，但因竞标人自身原因导致无法退还的除外。</w:t>
      </w:r>
    </w:p>
    <w:p w14:paraId="1E12E39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（2）未成交竞标人的保证金，在成交通知书发出后5个工作日内退还。</w:t>
      </w:r>
    </w:p>
    <w:p w14:paraId="2DE5EC8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（3）终止竞争性谈判活动的，在发布项目终止公告后5个工作日内退还。</w:t>
      </w:r>
    </w:p>
    <w:p w14:paraId="76DF2D7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10.4有下列情形之一的，保证金不予退还：</w:t>
      </w:r>
    </w:p>
    <w:p w14:paraId="7C22530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（1）竞标人在提交响应文件截止时间后撤回响应文件的；</w:t>
      </w:r>
    </w:p>
    <w:p w14:paraId="0ACB82E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（2）竞标人在响应文件中提供虚假材料的；</w:t>
      </w:r>
    </w:p>
    <w:p w14:paraId="538A7C0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（3）除因不可抗力或谈判文件认可的情形以外，成交竞标人不与招标人签订合同的； </w:t>
      </w:r>
    </w:p>
    <w:p w14:paraId="7D2F745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（4）竞标人与招标人、其他竞标人或者机构恶意串通的； </w:t>
      </w:r>
    </w:p>
    <w:p w14:paraId="57624C9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（5）谈判文件规定的其他情形。</w:t>
      </w:r>
    </w:p>
    <w:p w14:paraId="6465D2BC">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0" w:name="_Toc4368"/>
      <w:bookmarkStart w:id="91" w:name="_Toc18765_WPSOffice_Level3"/>
      <w:bookmarkStart w:id="92" w:name="_Toc14144"/>
      <w:bookmarkStart w:id="93" w:name="_Toc5897"/>
      <w:bookmarkStart w:id="94" w:name="_Toc4945_WPSOffice_Level3"/>
      <w:r>
        <w:rPr>
          <w:rFonts w:hint="eastAsia" w:ascii="楷体_GB2312" w:hAnsi="楷体_GB2312" w:eastAsia="楷体_GB2312" w:cs="楷体_GB2312"/>
          <w:b/>
          <w:bCs/>
          <w:kern w:val="2"/>
          <w:sz w:val="32"/>
          <w:szCs w:val="32"/>
          <w:lang w:val="en-US" w:eastAsia="zh-CN" w:bidi="ar-SA"/>
        </w:rPr>
        <w:t>11.响应文件的组成</w:t>
      </w:r>
      <w:bookmarkEnd w:id="90"/>
      <w:bookmarkEnd w:id="91"/>
      <w:bookmarkEnd w:id="92"/>
      <w:bookmarkEnd w:id="93"/>
      <w:bookmarkEnd w:id="94"/>
    </w:p>
    <w:p w14:paraId="7E8F497A">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11.1响应文件包括下列内容： </w:t>
      </w:r>
    </w:p>
    <w:p w14:paraId="2A745FE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竞标人应提交相关证明材料，作为其参加谈判和成交后有能力履行合同的证明。编写的谈判响应文件须包括以下内容（</w:t>
      </w:r>
      <w:r>
        <w:rPr>
          <w:rFonts w:hint="eastAsia" w:ascii="仿宋_GB2312" w:hAnsi="仿宋_GB2312" w:eastAsia="仿宋_GB2312" w:cs="仿宋_GB2312"/>
          <w:kern w:val="2"/>
          <w:sz w:val="32"/>
          <w:szCs w:val="32"/>
          <w:highlight w:val="none"/>
          <w:lang w:val="en-US" w:eastAsia="zh-CN" w:bidi="ar-SA"/>
        </w:rPr>
        <w:t>格式详见谈判文件第四部分内容）：</w:t>
      </w:r>
    </w:p>
    <w:p w14:paraId="6C18C4ED">
      <w:pPr>
        <w:widowControl w:val="0"/>
        <w:wordWrap/>
        <w:adjustRightInd w:val="0"/>
        <w:snapToGrid w:val="0"/>
        <w:spacing w:line="560" w:lineRule="exact"/>
        <w:ind w:firstLine="640" w:firstLineChars="200"/>
        <w:jc w:val="left"/>
        <w:textAlignment w:val="auto"/>
        <w:outlineLvl w:val="4"/>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11.1.1</w:t>
      </w:r>
      <w:r>
        <w:rPr>
          <w:rFonts w:hint="eastAsia" w:ascii="仿宋_GB2312" w:hAnsi="仿宋_GB2312" w:eastAsia="仿宋_GB2312" w:cs="仿宋_GB2312"/>
          <w:kern w:val="2"/>
          <w:sz w:val="32"/>
          <w:szCs w:val="32"/>
          <w:lang w:val="zh-CN" w:eastAsia="zh-CN" w:bidi="ar-SA"/>
        </w:rPr>
        <w:t>资格审查部分</w:t>
      </w:r>
    </w:p>
    <w:p w14:paraId="51F1F69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1、响应函</w:t>
      </w:r>
    </w:p>
    <w:p w14:paraId="795E2F4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2、法定代表人证明书</w:t>
      </w:r>
    </w:p>
    <w:p w14:paraId="1AFB76C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3、法定代表人授权书</w:t>
      </w:r>
    </w:p>
    <w:p w14:paraId="433B91F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4、竞标人承诺函</w:t>
      </w:r>
    </w:p>
    <w:p w14:paraId="1F279D0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5、竞标人诚信承诺书</w:t>
      </w:r>
    </w:p>
    <w:p w14:paraId="74B3359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6、竞标人资格证明文件</w:t>
      </w:r>
    </w:p>
    <w:p w14:paraId="158D7F4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7、财务状况</w:t>
      </w:r>
      <w:r>
        <w:rPr>
          <w:rFonts w:hint="eastAsia" w:ascii="仿宋_GB2312" w:hAnsi="仿宋_GB2312" w:eastAsia="仿宋_GB2312" w:cs="仿宋_GB2312"/>
          <w:kern w:val="2"/>
          <w:sz w:val="32"/>
          <w:szCs w:val="32"/>
          <w:lang w:val="en-US" w:eastAsia="zh-CN" w:bidi="ar-SA"/>
        </w:rPr>
        <w:t>审计报告</w:t>
      </w:r>
    </w:p>
    <w:p w14:paraId="392DF7D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8、无重大违法记录声明</w:t>
      </w:r>
    </w:p>
    <w:p w14:paraId="6058962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9、谈判保证金证明（</w:t>
      </w:r>
      <w:r>
        <w:rPr>
          <w:rFonts w:hint="eastAsia" w:ascii="仿宋_GB2312" w:hAnsi="仿宋_GB2312" w:eastAsia="仿宋_GB2312" w:cs="仿宋_GB2312"/>
          <w:kern w:val="2"/>
          <w:sz w:val="32"/>
          <w:szCs w:val="32"/>
          <w:lang w:val="en-US" w:eastAsia="zh-CN" w:bidi="ar-SA"/>
        </w:rPr>
        <w:t>若要求</w:t>
      </w:r>
      <w:r>
        <w:rPr>
          <w:rFonts w:hint="eastAsia" w:ascii="仿宋_GB2312" w:hAnsi="仿宋_GB2312" w:eastAsia="仿宋_GB2312" w:cs="仿宋_GB2312"/>
          <w:kern w:val="2"/>
          <w:sz w:val="32"/>
          <w:szCs w:val="32"/>
          <w:lang w:val="zh-CN" w:eastAsia="zh-CN" w:bidi="ar-SA"/>
        </w:rPr>
        <w:t>）</w:t>
      </w:r>
    </w:p>
    <w:p w14:paraId="409B47F0">
      <w:pPr>
        <w:widowControl w:val="0"/>
        <w:wordWrap/>
        <w:adjustRightInd w:val="0"/>
        <w:snapToGrid w:val="0"/>
        <w:spacing w:line="560" w:lineRule="exact"/>
        <w:ind w:firstLine="640" w:firstLineChars="200"/>
        <w:jc w:val="left"/>
        <w:textAlignment w:val="auto"/>
        <w:outlineLvl w:val="4"/>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en-US" w:eastAsia="zh-CN" w:bidi="ar-SA"/>
        </w:rPr>
        <w:t>11.1.2有效性、完整性、响应程度审查</w:t>
      </w:r>
      <w:r>
        <w:rPr>
          <w:rFonts w:hint="eastAsia" w:ascii="仿宋_GB2312" w:hAnsi="仿宋_GB2312" w:eastAsia="仿宋_GB2312" w:cs="仿宋_GB2312"/>
          <w:kern w:val="2"/>
          <w:sz w:val="32"/>
          <w:szCs w:val="32"/>
          <w:highlight w:val="none"/>
          <w:lang w:val="zh-CN" w:eastAsia="zh-CN" w:bidi="ar-SA"/>
        </w:rPr>
        <w:t>部分</w:t>
      </w:r>
    </w:p>
    <w:p w14:paraId="1A243A5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zh-CN" w:eastAsia="zh-CN" w:bidi="ar-SA"/>
        </w:rPr>
        <w:t>1、谈判首次报价表</w:t>
      </w:r>
    </w:p>
    <w:p w14:paraId="540E875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zh-CN" w:eastAsia="zh-CN" w:bidi="ar-SA"/>
        </w:rPr>
        <w:t>2、分项报价表</w:t>
      </w:r>
    </w:p>
    <w:p w14:paraId="5B70813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zh-CN" w:eastAsia="zh-CN" w:bidi="ar-SA"/>
        </w:rPr>
        <w:t>、具备履行合同所必须的设备和专业技术能力证明</w:t>
      </w:r>
    </w:p>
    <w:p w14:paraId="6A5BD3C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、竞标人认为在其他方面有必要说明的事项</w:t>
      </w:r>
    </w:p>
    <w:p w14:paraId="010B914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、其他证明材料</w:t>
      </w:r>
    </w:p>
    <w:p w14:paraId="2E0D8F1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竞标人须按上述内容、顺序和格式编制响应文件，并按要求编制目录、页码、</w:t>
      </w:r>
      <w:r>
        <w:rPr>
          <w:rFonts w:hint="eastAsia" w:ascii="仿宋_GB2312" w:hAnsi="仿宋_GB2312" w:eastAsia="仿宋_GB2312" w:cs="仿宋_GB2312"/>
          <w:kern w:val="2"/>
          <w:sz w:val="32"/>
          <w:szCs w:val="32"/>
          <w:lang w:val="en-US" w:eastAsia="zh-CN" w:bidi="ar-SA"/>
        </w:rPr>
        <w:t>侧签</w:t>
      </w:r>
      <w:r>
        <w:rPr>
          <w:rFonts w:hint="eastAsia" w:ascii="仿宋_GB2312" w:hAnsi="仿宋_GB2312" w:eastAsia="仿宋_GB2312" w:cs="仿宋_GB2312"/>
          <w:kern w:val="2"/>
          <w:sz w:val="32"/>
          <w:szCs w:val="32"/>
          <w:lang w:val="zh-CN" w:eastAsia="zh-CN" w:bidi="ar-SA"/>
        </w:rPr>
        <w:t>，并保证所提供的全部资料真实可信，自愿承担相应责任。</w:t>
      </w:r>
    </w:p>
    <w:p w14:paraId="5C282ED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11.2在谈判过程中，竞标人根据谈判小组书面形式要求提交的最后报价是响应文件的有效组成部分。</w:t>
      </w:r>
    </w:p>
    <w:p w14:paraId="7E184920">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5" w:name="_Toc26621"/>
      <w:bookmarkStart w:id="96" w:name="_Toc11674"/>
      <w:bookmarkStart w:id="97" w:name="_Toc3694_WPSOffice_Level3"/>
      <w:bookmarkStart w:id="98" w:name="_Toc14930_WPSOffice_Level3"/>
      <w:bookmarkStart w:id="99" w:name="_Toc18471"/>
      <w:r>
        <w:rPr>
          <w:rFonts w:hint="eastAsia" w:ascii="楷体_GB2312" w:hAnsi="楷体_GB2312" w:eastAsia="楷体_GB2312" w:cs="楷体_GB2312"/>
          <w:b/>
          <w:bCs/>
          <w:kern w:val="2"/>
          <w:sz w:val="32"/>
          <w:szCs w:val="32"/>
          <w:lang w:val="en-US" w:eastAsia="zh-CN" w:bidi="ar-SA"/>
        </w:rPr>
        <w:t>12.响应文件有效期</w:t>
      </w:r>
      <w:bookmarkEnd w:id="95"/>
      <w:bookmarkEnd w:id="96"/>
      <w:bookmarkEnd w:id="97"/>
      <w:bookmarkEnd w:id="98"/>
      <w:bookmarkEnd w:id="99"/>
    </w:p>
    <w:p w14:paraId="016EBD9D">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响应文件有效期见【谈判须知前附表】，在此期间响应文件对竞标人具有法律约束力，从提交首次响应文件截止时间之日起计算。响应文件有效期不足的将被视为无效响应。</w:t>
      </w:r>
    </w:p>
    <w:p w14:paraId="42B838F0">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00" w:name="_Toc20265"/>
      <w:bookmarkStart w:id="101" w:name="_Toc31682_WPSOffice_Level3"/>
      <w:bookmarkStart w:id="102" w:name="_Toc21033"/>
      <w:bookmarkStart w:id="103" w:name="_Toc11996"/>
      <w:bookmarkStart w:id="104" w:name="_Toc8507_WPSOffice_Level3"/>
      <w:r>
        <w:rPr>
          <w:rFonts w:hint="eastAsia" w:ascii="楷体_GB2312" w:hAnsi="楷体_GB2312" w:eastAsia="楷体_GB2312" w:cs="楷体_GB2312"/>
          <w:b/>
          <w:bCs/>
          <w:kern w:val="2"/>
          <w:sz w:val="32"/>
          <w:szCs w:val="32"/>
          <w:lang w:val="en-US" w:eastAsia="zh-CN" w:bidi="ar-SA"/>
        </w:rPr>
        <w:t>13.响应文件的签署及规定</w:t>
      </w:r>
      <w:bookmarkEnd w:id="100"/>
      <w:bookmarkEnd w:id="101"/>
      <w:bookmarkEnd w:id="102"/>
      <w:bookmarkEnd w:id="103"/>
      <w:bookmarkEnd w:id="104"/>
    </w:p>
    <w:p w14:paraId="035DD75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13.1响应文件应按谈判文件要求签字盖章。竞标人代表可为竞标人法定代表人(非法人组织为负责人或合伙人、个体工商户为负责人，谈判文件统称单位负责人)；竞标人代表不是竞标人的法定代表人（单位负责人）的，应提供法定代表人（单位负责人）授权委托书。</w:t>
      </w:r>
    </w:p>
    <w:p w14:paraId="031441E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13.2 </w:t>
      </w:r>
      <w:r>
        <w:rPr>
          <w:rFonts w:hint="eastAsia" w:ascii="仿宋_GB2312" w:hAnsi="仿宋_GB2312" w:eastAsia="仿宋_GB2312" w:cs="仿宋_GB2312"/>
          <w:kern w:val="2"/>
          <w:sz w:val="32"/>
          <w:szCs w:val="32"/>
          <w:lang w:val="zh-CN" w:eastAsia="zh-CN" w:bidi="ar-SA"/>
        </w:rPr>
        <w:t>竞标人应按照谈判文件所提供的文件格式，分别填写谈判文件</w:t>
      </w:r>
      <w:r>
        <w:rPr>
          <w:rFonts w:hint="eastAsia" w:ascii="仿宋_GB2312" w:hAnsi="仿宋_GB2312" w:eastAsia="仿宋_GB2312" w:cs="仿宋_GB2312"/>
          <w:kern w:val="2"/>
          <w:sz w:val="32"/>
          <w:szCs w:val="32"/>
          <w:highlight w:val="none"/>
          <w:lang w:val="zh-CN" w:eastAsia="zh-CN" w:bidi="ar-SA"/>
        </w:rPr>
        <w:t>第四部分</w:t>
      </w:r>
      <w:r>
        <w:rPr>
          <w:rFonts w:hint="eastAsia" w:ascii="仿宋_GB2312" w:hAnsi="仿宋_GB2312" w:eastAsia="仿宋_GB2312" w:cs="仿宋_GB2312"/>
          <w:kern w:val="2"/>
          <w:sz w:val="32"/>
          <w:szCs w:val="32"/>
          <w:lang w:val="zh-CN" w:eastAsia="zh-CN" w:bidi="ar-SA"/>
        </w:rPr>
        <w:t>的内容，应分别注明所提供货物的名称、技术配置及参数、数量和价格等内容；谈判文件要求签字、盖章的地方必须由竞标人的法定代表人或委托代理人签字、盖章。</w:t>
      </w:r>
    </w:p>
    <w:p w14:paraId="09EFEE3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13.3响应文件正本一份，副本份数、响应文件电子文档见【谈判须知前附表】；要求正副本的纸质响应文件须清楚地注明“正本”或“副本”的字样。</w:t>
      </w:r>
      <w:r>
        <w:rPr>
          <w:rFonts w:hint="eastAsia" w:ascii="仿宋_GB2312" w:hAnsi="仿宋_GB2312" w:eastAsia="仿宋_GB2312" w:cs="仿宋_GB2312"/>
          <w:kern w:val="2"/>
          <w:sz w:val="32"/>
          <w:szCs w:val="32"/>
          <w:lang w:val="zh-CN" w:eastAsia="zh-CN" w:bidi="ar-SA"/>
        </w:rPr>
        <w:t>电子文档用光盘或U盘制作，采用不可修改文档格式（如PDF格式），内容必须和纸质响应文件正本完全一致，包括封面、页码、签字、盖章等，</w:t>
      </w:r>
      <w:r>
        <w:rPr>
          <w:rFonts w:hint="eastAsia" w:ascii="仿宋_GB2312" w:hAnsi="仿宋_GB2312" w:eastAsia="仿宋_GB2312" w:cs="仿宋_GB2312"/>
          <w:sz w:val="32"/>
          <w:szCs w:val="32"/>
        </w:rPr>
        <w:t>若副本和正本不一致或电子版文件和纸质正本文件不一致时，以纸质正本文件为准。</w:t>
      </w:r>
    </w:p>
    <w:p w14:paraId="7ABFC1E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13.4 响应</w:t>
      </w:r>
      <w:r>
        <w:rPr>
          <w:rFonts w:hint="eastAsia" w:ascii="仿宋_GB2312" w:hAnsi="仿宋_GB2312" w:eastAsia="仿宋_GB2312" w:cs="仿宋_GB2312"/>
          <w:kern w:val="2"/>
          <w:sz w:val="32"/>
          <w:szCs w:val="32"/>
          <w:lang w:val="zh-CN" w:eastAsia="zh-CN" w:bidi="ar-SA"/>
        </w:rPr>
        <w:t>文件统一使用A4幅面的纸张印制，必须胶装成册并编制目录，其他方式装订的响应文件一概不予接受。响应文件的正本需打印或用不褪色、不变质的墨水书写，副本可采用正本的复印件。</w:t>
      </w:r>
    </w:p>
    <w:p w14:paraId="622A7B1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13.5 响应文件不得行间插字，若有修改错漏处，应由竞标人法定代表人或者其委托代理人签字、加盖公章。否则，将导致响应文件无效。</w:t>
      </w:r>
      <w:r>
        <w:rPr>
          <w:rFonts w:hint="eastAsia" w:ascii="仿宋_GB2312" w:hAnsi="仿宋_GB2312" w:eastAsia="仿宋_GB2312" w:cs="仿宋_GB2312"/>
          <w:kern w:val="2"/>
          <w:sz w:val="32"/>
          <w:szCs w:val="32"/>
          <w:lang w:val="zh-CN" w:eastAsia="zh-CN" w:bidi="ar-SA"/>
        </w:rPr>
        <w:t xml:space="preserve"> </w:t>
      </w:r>
    </w:p>
    <w:p w14:paraId="4CE4A6E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13.6在谈判过程中，竞标人按谈判文件规定和谈判小组要求提交的最后报价，须用不褪色材料书写，并经竞标人代表签字，或者加盖竞标人单位公章。否则，将导致响应文件无效。</w:t>
      </w:r>
    </w:p>
    <w:p w14:paraId="54C07235">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13.7竞标人无论成交与否，其响应文件不予退还。</w:t>
      </w:r>
    </w:p>
    <w:p w14:paraId="3068195A">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lang w:val="en-US" w:eastAsia="zh-CN" w:bidi="ar-SA"/>
        </w:rPr>
      </w:pPr>
      <w:bookmarkStart w:id="105" w:name="_Toc6075"/>
      <w:bookmarkStart w:id="106" w:name="_Toc8361"/>
      <w:bookmarkStart w:id="107" w:name="_Toc34637768"/>
      <w:bookmarkStart w:id="108" w:name="_Toc31349_WPSOffice_Level2"/>
      <w:bookmarkStart w:id="109" w:name="_Toc25869"/>
      <w:bookmarkStart w:id="110" w:name="_Toc24112_WPSOffice_Level2"/>
      <w:bookmarkStart w:id="111" w:name="_Toc30575"/>
      <w:bookmarkStart w:id="112" w:name="_Toc32627_WPSOffice_Level2"/>
      <w:r>
        <w:rPr>
          <w:rFonts w:hint="eastAsia" w:ascii="黑体" w:hAnsi="黑体" w:eastAsia="黑体" w:cs="黑体"/>
          <w:b w:val="0"/>
          <w:bCs w:val="0"/>
          <w:kern w:val="2"/>
          <w:sz w:val="32"/>
          <w:szCs w:val="32"/>
          <w:lang w:val="en-US" w:eastAsia="zh-CN" w:bidi="ar-SA"/>
        </w:rPr>
        <w:t>四、响应文件的递交</w:t>
      </w:r>
      <w:bookmarkEnd w:id="105"/>
      <w:bookmarkEnd w:id="106"/>
      <w:bookmarkEnd w:id="107"/>
      <w:bookmarkEnd w:id="108"/>
      <w:bookmarkEnd w:id="109"/>
      <w:bookmarkEnd w:id="110"/>
      <w:bookmarkEnd w:id="111"/>
      <w:bookmarkEnd w:id="112"/>
    </w:p>
    <w:p w14:paraId="128D0B1F">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13" w:name="_Toc4459"/>
      <w:bookmarkStart w:id="114" w:name="_Toc856"/>
      <w:bookmarkStart w:id="115" w:name="_Toc6095"/>
      <w:bookmarkStart w:id="116" w:name="_Toc20825_WPSOffice_Level3"/>
      <w:bookmarkStart w:id="117" w:name="_Toc23622_WPSOffice_Level3"/>
      <w:r>
        <w:rPr>
          <w:rFonts w:hint="eastAsia" w:ascii="楷体_GB2312" w:hAnsi="楷体_GB2312" w:eastAsia="楷体_GB2312" w:cs="楷体_GB2312"/>
          <w:b/>
          <w:bCs/>
          <w:kern w:val="2"/>
          <w:sz w:val="32"/>
          <w:szCs w:val="32"/>
          <w:lang w:val="en-US" w:eastAsia="zh-CN" w:bidi="ar-SA"/>
        </w:rPr>
        <w:t>14.响应文件的密封和标记</w:t>
      </w:r>
      <w:bookmarkEnd w:id="113"/>
      <w:bookmarkEnd w:id="114"/>
      <w:bookmarkEnd w:id="115"/>
      <w:bookmarkEnd w:id="116"/>
      <w:bookmarkEnd w:id="117"/>
    </w:p>
    <w:p w14:paraId="4BD7355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14.1响应文件应密封包装，以保证其响应文件信息在提交首次响应文件截止时间前不被透露。</w:t>
      </w:r>
    </w:p>
    <w:p w14:paraId="1BE6366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14.2</w:t>
      </w:r>
      <w:r>
        <w:rPr>
          <w:rFonts w:hint="eastAsia" w:ascii="仿宋" w:hAnsi="仿宋" w:eastAsia="仿宋" w:cs="仿宋"/>
          <w:sz w:val="32"/>
          <w:szCs w:val="32"/>
        </w:rPr>
        <w:t>响应文件正本、所有副本应密封包装</w:t>
      </w:r>
      <w:r>
        <w:rPr>
          <w:rFonts w:hint="eastAsia" w:ascii="仿宋_GB2312" w:hAnsi="仿宋_GB2312" w:eastAsia="仿宋_GB2312" w:cs="仿宋_GB2312"/>
          <w:kern w:val="2"/>
          <w:sz w:val="32"/>
          <w:szCs w:val="32"/>
          <w:lang w:val="en-US" w:eastAsia="zh-CN" w:bidi="ar-SA"/>
        </w:rPr>
        <w:t>，密封袋上应写明的内容见【谈判须知前附表】</w:t>
      </w:r>
    </w:p>
    <w:p w14:paraId="1F137AA4">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18" w:name="_Toc7845_WPSOffice_Level3"/>
      <w:bookmarkStart w:id="119" w:name="_Toc1241"/>
      <w:bookmarkStart w:id="120" w:name="_Toc13231_WPSOffice_Level3"/>
      <w:bookmarkStart w:id="121" w:name="_Toc18048"/>
      <w:bookmarkStart w:id="122" w:name="_Toc5706"/>
      <w:r>
        <w:rPr>
          <w:rFonts w:hint="eastAsia" w:ascii="楷体_GB2312" w:hAnsi="楷体_GB2312" w:eastAsia="楷体_GB2312" w:cs="楷体_GB2312"/>
          <w:b/>
          <w:bCs/>
          <w:kern w:val="2"/>
          <w:sz w:val="32"/>
          <w:szCs w:val="32"/>
          <w:lang w:val="en-US" w:eastAsia="zh-CN" w:bidi="ar-SA"/>
        </w:rPr>
        <w:t>15.响应文件的递交与接收</w:t>
      </w:r>
      <w:bookmarkEnd w:id="118"/>
      <w:bookmarkEnd w:id="119"/>
      <w:bookmarkEnd w:id="120"/>
      <w:bookmarkEnd w:id="121"/>
      <w:bookmarkEnd w:id="122"/>
    </w:p>
    <w:p w14:paraId="1981BBF4">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竞标人应在【谈判须知前附表】规定的时间和地点提交响应文件。在截止时间后送达的响应文件为无效文件，招标人拒收逾期送达的响应文件。</w:t>
      </w:r>
    </w:p>
    <w:p w14:paraId="2B44D614">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23" w:name="_Toc5063_WPSOffice_Level3"/>
      <w:bookmarkStart w:id="124" w:name="_Toc19521_WPSOffice_Level3"/>
      <w:bookmarkStart w:id="125" w:name="_Toc17093"/>
      <w:bookmarkStart w:id="126" w:name="_Toc31959"/>
      <w:bookmarkStart w:id="127" w:name="_Toc17912"/>
      <w:r>
        <w:rPr>
          <w:rFonts w:hint="eastAsia" w:ascii="楷体_GB2312" w:hAnsi="楷体_GB2312" w:eastAsia="楷体_GB2312" w:cs="楷体_GB2312"/>
          <w:b/>
          <w:bCs/>
          <w:kern w:val="2"/>
          <w:sz w:val="32"/>
          <w:szCs w:val="32"/>
          <w:lang w:val="en-US" w:eastAsia="zh-CN" w:bidi="ar-SA"/>
        </w:rPr>
        <w:t>16.响应文件的</w:t>
      </w:r>
      <w:r>
        <w:rPr>
          <w:rFonts w:hint="eastAsia" w:ascii="楷体_GB2312" w:hAnsi="楷体_GB2312" w:eastAsia="楷体_GB2312" w:cs="楷体_GB2312"/>
          <w:b/>
          <w:bCs/>
          <w:kern w:val="2"/>
          <w:sz w:val="32"/>
          <w:szCs w:val="32"/>
          <w:lang w:val="zh-CN" w:eastAsia="zh-CN" w:bidi="ar-SA"/>
        </w:rPr>
        <w:t>补充、修改或者撤回</w:t>
      </w:r>
      <w:bookmarkEnd w:id="123"/>
      <w:bookmarkEnd w:id="124"/>
      <w:bookmarkEnd w:id="125"/>
      <w:bookmarkEnd w:id="126"/>
      <w:bookmarkEnd w:id="127"/>
    </w:p>
    <w:p w14:paraId="178F8258">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bookmarkStart w:id="128" w:name="_Toc32435"/>
      <w:bookmarkStart w:id="129" w:name="_Toc34637769"/>
      <w:r>
        <w:rPr>
          <w:rFonts w:hint="eastAsia" w:ascii="仿宋_GB2312" w:hAnsi="仿宋_GB2312" w:eastAsia="仿宋_GB2312" w:cs="仿宋_GB2312"/>
          <w:kern w:val="2"/>
          <w:sz w:val="32"/>
          <w:szCs w:val="32"/>
          <w:lang w:val="en-US" w:eastAsia="zh-CN" w:bidi="ar-SA"/>
        </w:rPr>
        <w:t>竞标人在谈判截止时间前，可以对所递交的响应文件进行补充、修改或者撤回，并书面通知招标人。补充、修改的内容作为响应文件的组成部分，补充、修改的内容与响应文件不一致的，以补充、修改的内容为准。</w:t>
      </w:r>
      <w:bookmarkEnd w:id="128"/>
    </w:p>
    <w:p w14:paraId="694F67F3">
      <w:pPr>
        <w:wordWrap/>
        <w:adjustRightInd w:val="0"/>
        <w:snapToGrid w:val="0"/>
        <w:spacing w:before="157" w:beforeLines="50" w:line="560" w:lineRule="exact"/>
        <w:jc w:val="center"/>
        <w:outlineLvl w:val="1"/>
        <w:rPr>
          <w:rFonts w:hint="eastAsia" w:ascii="黑体" w:hAnsi="黑体" w:eastAsia="黑体" w:cs="黑体"/>
          <w:b w:val="0"/>
          <w:bCs w:val="0"/>
          <w:kern w:val="2"/>
          <w:sz w:val="32"/>
          <w:szCs w:val="32"/>
          <w:lang w:val="en-US" w:eastAsia="zh-CN" w:bidi="ar-SA"/>
        </w:rPr>
      </w:pPr>
      <w:bookmarkStart w:id="130" w:name="_Toc6477"/>
      <w:bookmarkStart w:id="131" w:name="_Toc31993"/>
      <w:bookmarkStart w:id="132" w:name="_Toc25721_WPSOffice_Level2"/>
      <w:bookmarkStart w:id="133" w:name="_Toc18610_WPSOffice_Level2"/>
      <w:bookmarkStart w:id="134" w:name="_Toc29785_WPSOffice_Level2"/>
      <w:bookmarkStart w:id="135" w:name="_Toc12974"/>
      <w:bookmarkStart w:id="136" w:name="_Toc10968"/>
      <w:r>
        <w:rPr>
          <w:rFonts w:hint="eastAsia" w:ascii="黑体" w:hAnsi="黑体" w:eastAsia="黑体" w:cs="黑体"/>
          <w:b w:val="0"/>
          <w:bCs w:val="0"/>
          <w:kern w:val="2"/>
          <w:sz w:val="32"/>
          <w:szCs w:val="32"/>
          <w:lang w:val="en-US" w:eastAsia="zh-CN" w:bidi="ar-SA"/>
        </w:rPr>
        <w:t>五、响应文件的评审与谈判</w:t>
      </w:r>
      <w:bookmarkEnd w:id="129"/>
      <w:bookmarkEnd w:id="130"/>
      <w:bookmarkEnd w:id="131"/>
      <w:bookmarkEnd w:id="132"/>
      <w:bookmarkEnd w:id="133"/>
      <w:bookmarkEnd w:id="134"/>
      <w:bookmarkEnd w:id="135"/>
      <w:bookmarkEnd w:id="136"/>
    </w:p>
    <w:p w14:paraId="67747517">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37" w:name="_Toc26446"/>
      <w:bookmarkStart w:id="138" w:name="_Toc7674"/>
      <w:bookmarkStart w:id="139" w:name="_Toc174"/>
      <w:bookmarkStart w:id="140" w:name="_Toc19596_WPSOffice_Level3"/>
      <w:bookmarkStart w:id="141" w:name="_Toc18713_WPSOffice_Level3"/>
      <w:r>
        <w:rPr>
          <w:rFonts w:hint="eastAsia" w:ascii="楷体_GB2312" w:hAnsi="楷体_GB2312" w:eastAsia="楷体_GB2312" w:cs="楷体_GB2312"/>
          <w:b/>
          <w:bCs/>
          <w:kern w:val="2"/>
          <w:sz w:val="32"/>
          <w:szCs w:val="32"/>
          <w:lang w:val="en-US" w:eastAsia="zh-CN" w:bidi="ar-SA"/>
        </w:rPr>
        <w:t>17.谈判小组</w:t>
      </w:r>
      <w:bookmarkEnd w:id="137"/>
      <w:bookmarkEnd w:id="138"/>
      <w:bookmarkEnd w:id="139"/>
      <w:bookmarkEnd w:id="140"/>
      <w:bookmarkEnd w:id="141"/>
    </w:p>
    <w:p w14:paraId="20F721C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17.1竞争性磋商谈判小组由招标人共</w:t>
      </w:r>
      <w:r>
        <w:rPr>
          <w:rFonts w:hint="eastAsia" w:ascii="仿宋_GB2312" w:hAnsi="仿宋_GB2312" w:eastAsia="仿宋_GB2312" w:cs="仿宋_GB2312"/>
          <w:kern w:val="2"/>
          <w:sz w:val="32"/>
          <w:szCs w:val="32"/>
          <w:u w:val="single"/>
          <w:lang w:val="en-US" w:eastAsia="zh-CN" w:bidi="ar-SA"/>
        </w:rPr>
        <w:t xml:space="preserve"> 3  </w:t>
      </w:r>
      <w:r>
        <w:rPr>
          <w:rFonts w:hint="eastAsia" w:ascii="仿宋_GB2312" w:hAnsi="仿宋_GB2312" w:eastAsia="仿宋_GB2312" w:cs="仿宋_GB2312"/>
          <w:kern w:val="2"/>
          <w:sz w:val="32"/>
          <w:szCs w:val="32"/>
          <w:lang w:val="en-US" w:eastAsia="zh-CN" w:bidi="ar-SA"/>
        </w:rPr>
        <w:t>人组成（3人以上单数组成）。</w:t>
      </w:r>
    </w:p>
    <w:p w14:paraId="5C746D4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17.2谈判由招标人负责组织，具体谈判事务由依法组建的谈判小组负责，并独立履行下列职责：</w:t>
      </w:r>
    </w:p>
    <w:p w14:paraId="484F0F9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u w:val="none"/>
          <w:lang w:val="en-US" w:eastAsia="zh-CN" w:bidi="ar-SA"/>
        </w:rPr>
        <w:t>确认谈判文件</w:t>
      </w:r>
      <w:r>
        <w:rPr>
          <w:rFonts w:hint="eastAsia" w:ascii="仿宋_GB2312" w:hAnsi="仿宋_GB2312" w:eastAsia="仿宋_GB2312" w:cs="仿宋_GB2312"/>
          <w:kern w:val="2"/>
          <w:sz w:val="32"/>
          <w:szCs w:val="32"/>
          <w:lang w:val="en-US" w:eastAsia="zh-CN" w:bidi="ar-SA"/>
        </w:rPr>
        <w:t>；</w:t>
      </w:r>
    </w:p>
    <w:p w14:paraId="3925653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（2）审查竞标人的响应文件并作出评价；</w:t>
      </w:r>
    </w:p>
    <w:p w14:paraId="4ABFC98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（3）要求竞标人对谈判文件有关事项作出澄清或者说明；</w:t>
      </w:r>
    </w:p>
    <w:p w14:paraId="5616501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（4）编写竞争性谈判结果报告；</w:t>
      </w:r>
    </w:p>
    <w:p w14:paraId="7B50105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（5）确定成交候选人名单，以及根据磋商结果直接确定成交竞标人；</w:t>
      </w:r>
    </w:p>
    <w:p w14:paraId="25A9A0C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（6）告知评审过程中发现的竞标人的违法违规行为。</w:t>
      </w:r>
    </w:p>
    <w:p w14:paraId="786BC2CE">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17.3谈判小组应遵守并履行下列义务：</w:t>
      </w:r>
    </w:p>
    <w:p w14:paraId="1180A36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（1）遵纪守法，客观、公正、廉洁地履行职责；</w:t>
      </w:r>
    </w:p>
    <w:p w14:paraId="6691657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（2）按照谈判文件规定的成交方法评审，对评审意见承担谈判小组成员责任；</w:t>
      </w:r>
    </w:p>
    <w:p w14:paraId="6A20F04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（3）对谈判响应文件、谈判情况和谈判中获悉的国家秘密、商业秘密保密；</w:t>
      </w:r>
    </w:p>
    <w:p w14:paraId="4E4ACCC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（4）参与竞争性谈判结果报告的起草；</w:t>
      </w:r>
    </w:p>
    <w:p w14:paraId="2BD5591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（5）答复竞标人提出的质疑；</w:t>
      </w:r>
    </w:p>
    <w:p w14:paraId="4B77960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（6）配合纪检部门的投诉处理和监督检查工作。</w:t>
      </w:r>
    </w:p>
    <w:p w14:paraId="1CFEAE2D">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17.4谈判小组成员有下列情形之一的，应当回避：</w:t>
      </w:r>
    </w:p>
    <w:p w14:paraId="51E96AD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（1）参加采购活动前 3 年内与竞标人存在劳动关系；</w:t>
      </w:r>
    </w:p>
    <w:p w14:paraId="291E0BD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（2）参加采购活动前 3 年内担任竞标人的董事、监事；</w:t>
      </w:r>
    </w:p>
    <w:p w14:paraId="0284FD9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（3）参加采购活动前 3 年内是竞标人的控股股东或者实际控制人；</w:t>
      </w:r>
    </w:p>
    <w:p w14:paraId="40711AA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（4）与竞标人的法定代表人或者负责人有夫妻、直系血亲、三代以内旁系血亲或者近姻亲关系；</w:t>
      </w:r>
    </w:p>
    <w:p w14:paraId="2DD28B6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（5）与竞标人有其他可能影响采购活动公平、公正进行的关系。</w:t>
      </w:r>
      <w:bookmarkStart w:id="142" w:name="_Toc16350_WPSOffice_Level3"/>
      <w:bookmarkStart w:id="143" w:name="_Toc19122"/>
    </w:p>
    <w:p w14:paraId="3A42E4B2">
      <w:pPr>
        <w:pStyle w:val="9"/>
        <w:widowControl w:val="0"/>
        <w:wordWrap/>
        <w:adjustRightInd w:val="0"/>
        <w:snapToGrid w:val="0"/>
        <w:spacing w:before="157" w:beforeLines="50" w:after="0" w:line="560" w:lineRule="exact"/>
        <w:ind w:firstLine="0" w:firstLineChars="0"/>
        <w:textAlignment w:val="auto"/>
        <w:outlineLvl w:val="2"/>
        <w:rPr>
          <w:rFonts w:hint="default" w:ascii="楷体_GB2312" w:hAnsi="楷体_GB2312" w:eastAsia="楷体_GB2312" w:cs="楷体_GB2312"/>
          <w:b/>
          <w:bCs/>
          <w:kern w:val="2"/>
          <w:sz w:val="32"/>
          <w:szCs w:val="32"/>
          <w:lang w:val="en-US" w:eastAsia="zh-CN" w:bidi="ar-SA"/>
        </w:rPr>
      </w:pPr>
      <w:bookmarkStart w:id="144" w:name="_Toc22044_WPSOffice_Level3"/>
      <w:bookmarkStart w:id="145" w:name="_Toc25238"/>
      <w:r>
        <w:rPr>
          <w:rFonts w:hint="eastAsia" w:ascii="楷体_GB2312" w:hAnsi="楷体_GB2312" w:eastAsia="楷体_GB2312" w:cs="楷体_GB2312"/>
          <w:b/>
          <w:bCs/>
          <w:kern w:val="2"/>
          <w:sz w:val="32"/>
          <w:szCs w:val="32"/>
          <w:lang w:val="en-US" w:eastAsia="zh-CN" w:bidi="ar-SA"/>
        </w:rPr>
        <w:t>18.响应文件审查</w:t>
      </w:r>
      <w:bookmarkEnd w:id="142"/>
      <w:bookmarkEnd w:id="143"/>
      <w:bookmarkEnd w:id="144"/>
      <w:bookmarkEnd w:id="145"/>
    </w:p>
    <w:p w14:paraId="0DFAAA3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18.1谈判小组应当对响应文件进行评审，并根据谈判文件规定的程序、评定成交的标准等事项与实质性响应谈判文件要求的竞标人进行谈判。</w:t>
      </w:r>
    </w:p>
    <w:p w14:paraId="649F971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18.2在对竞标人进行审查时，存在下列情况之一的，按无效处理：</w:t>
      </w:r>
    </w:p>
    <w:p w14:paraId="46F939B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（1）不符合谈判文件第一部分谈判须知前附表“竞标人资格条件”的；</w:t>
      </w:r>
    </w:p>
    <w:p w14:paraId="091EE92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（2）未按第11.1.1款“</w:t>
      </w:r>
      <w:r>
        <w:rPr>
          <w:rFonts w:hint="eastAsia" w:ascii="仿宋_GB2312" w:hAnsi="仿宋_GB2312" w:eastAsia="仿宋_GB2312" w:cs="仿宋_GB2312"/>
          <w:kern w:val="2"/>
          <w:sz w:val="32"/>
          <w:szCs w:val="32"/>
          <w:lang w:val="zh-CN" w:eastAsia="zh-CN" w:bidi="ar-SA"/>
        </w:rPr>
        <w:t>资格审查部分</w:t>
      </w:r>
      <w:r>
        <w:rPr>
          <w:rFonts w:hint="eastAsia" w:ascii="仿宋_GB2312" w:hAnsi="仿宋_GB2312" w:eastAsia="仿宋_GB2312" w:cs="仿宋_GB2312"/>
          <w:kern w:val="2"/>
          <w:sz w:val="32"/>
          <w:szCs w:val="32"/>
          <w:lang w:val="en-US" w:eastAsia="zh-CN" w:bidi="ar-SA"/>
        </w:rPr>
        <w:t>”要求提供相关资料的；</w:t>
      </w:r>
    </w:p>
    <w:p w14:paraId="5D096ED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（3）响应文件没有按谈判文件规定和要求签字、盖章的；</w:t>
      </w:r>
    </w:p>
    <w:p w14:paraId="51ABD10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（4）谈判有效期不能满足谈判文件要求的；</w:t>
      </w:r>
    </w:p>
    <w:p w14:paraId="074B5B3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（5）谈判报价超过谈判文件规定的预算额度的；</w:t>
      </w:r>
    </w:p>
    <w:p w14:paraId="24DC898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（6）所提供产品的技术规格、技术标准不符合项目要求的；</w:t>
      </w:r>
    </w:p>
    <w:p w14:paraId="6D6ACFC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（7）谈判响应文件含有招标人不能接受的附加条件的；</w:t>
      </w:r>
    </w:p>
    <w:p w14:paraId="3D67111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（8）响应文件不满足谈判文件实质性要求和条件的；</w:t>
      </w:r>
    </w:p>
    <w:p w14:paraId="22482D4E">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（9）谈判小组认为应按无效谈判处理的其他情况；</w:t>
      </w:r>
    </w:p>
    <w:p w14:paraId="52B4868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（10）法律、法规规定的其他情形。</w:t>
      </w:r>
    </w:p>
    <w:p w14:paraId="3BEF739A">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46" w:name="_Toc17887_WPSOffice_Level3"/>
      <w:bookmarkStart w:id="147" w:name="_Toc11154"/>
      <w:bookmarkStart w:id="148" w:name="_Toc1673_WPSOffice_Level3"/>
      <w:bookmarkStart w:id="149" w:name="_Toc6790"/>
      <w:bookmarkStart w:id="150" w:name="_Toc17197"/>
      <w:r>
        <w:rPr>
          <w:rFonts w:hint="eastAsia" w:ascii="楷体_GB2312" w:hAnsi="楷体_GB2312" w:eastAsia="楷体_GB2312" w:cs="楷体_GB2312"/>
          <w:b/>
          <w:bCs/>
          <w:kern w:val="2"/>
          <w:sz w:val="32"/>
          <w:szCs w:val="32"/>
          <w:lang w:val="en-US" w:eastAsia="zh-CN" w:bidi="ar-SA"/>
        </w:rPr>
        <w:t>19.谈判程序</w:t>
      </w:r>
      <w:bookmarkEnd w:id="146"/>
      <w:bookmarkEnd w:id="147"/>
      <w:bookmarkEnd w:id="148"/>
      <w:bookmarkEnd w:id="149"/>
      <w:bookmarkEnd w:id="150"/>
    </w:p>
    <w:p w14:paraId="1F16298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19.1在谈判过程中，谈判小组所有成员集中与单一竞标人分别进行谈判，负责审议所有通过资格条件竞标人的谈判响应文件，给予所有参加谈判的竞标人平等的谈判机会。竞标人应派其代表参加谈判。在谈判过程中谈判的任何一方不得向他人透露与谈判有关的技术资料、价格或其他信息。</w:t>
      </w:r>
    </w:p>
    <w:p w14:paraId="71171EA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19.2在谈判过程中，</w:t>
      </w:r>
      <w:r>
        <w:rPr>
          <w:rFonts w:hint="eastAsia" w:ascii="仿宋_GB2312" w:hAnsi="仿宋_GB2312" w:eastAsia="仿宋_GB2312" w:cs="仿宋_GB2312"/>
          <w:kern w:val="2"/>
          <w:sz w:val="32"/>
          <w:szCs w:val="32"/>
          <w:u w:val="single"/>
          <w:lang w:val="en-US" w:eastAsia="zh-CN" w:bidi="ar-SA"/>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kern w:val="2"/>
          <w:sz w:val="32"/>
          <w:szCs w:val="32"/>
          <w:lang w:val="en-US" w:eastAsia="zh-CN" w:bidi="ar-SA"/>
        </w:rPr>
        <w:t>。实质性变动的内容，须经招标人代表确认，谈判小组将以书面形式将修改内容同时通知所有参加谈判的竞标人。</w:t>
      </w:r>
    </w:p>
    <w:p w14:paraId="4FE194B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kern w:val="2"/>
          <w:sz w:val="32"/>
          <w:szCs w:val="32"/>
          <w:lang w:val="en-US" w:eastAsia="zh-CN" w:bidi="ar-SA"/>
        </w:rPr>
        <w:t>19.3</w:t>
      </w:r>
      <w:r>
        <w:rPr>
          <w:rFonts w:hint="eastAsia" w:ascii="仿宋_GB2312" w:hAnsi="仿宋_GB2312" w:eastAsia="仿宋_GB2312" w:cs="仿宋_GB2312"/>
          <w:kern w:val="2"/>
          <w:sz w:val="32"/>
          <w:szCs w:val="32"/>
          <w:u w:val="single"/>
          <w:lang w:val="en-US" w:eastAsia="zh-CN" w:bidi="ar-SA"/>
        </w:rPr>
        <w:t>竞标人应当按照谈判文件的变动情况和谈判小组的要求重新提交响应文件，并由其法定代表人或授权代表签字或者加盖公章。由授权代表签字的，应当附法定代表人授权书。竞标人为自然人的，应当由本人签字并附身份证明。</w:t>
      </w:r>
    </w:p>
    <w:p w14:paraId="47B4A3C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19.4响应文件中首次报价表内的报价为首次报价，根据技术、服务等满足谈判文件要求的情况，竞标人可进行二次报价。</w:t>
      </w:r>
    </w:p>
    <w:p w14:paraId="751062C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19.5</w:t>
      </w:r>
      <w:r>
        <w:rPr>
          <w:rFonts w:hint="eastAsia" w:ascii="仿宋_GB2312" w:hAnsi="仿宋_GB2312" w:eastAsia="仿宋_GB2312" w:cs="仿宋_GB2312"/>
          <w:kern w:val="2"/>
          <w:sz w:val="32"/>
          <w:szCs w:val="32"/>
          <w:u w:val="single" w:color="auto"/>
          <w:lang w:val="en-US" w:eastAsia="zh-CN" w:bidi="ar-SA"/>
        </w:rPr>
        <w:t>谈判小组认为竞标人的最后报价明显低于其他通过有效性、完整性、响应程度审查竞标人的报价，有可能影响产品质量或者不能诚信履约的，应当要求其在谈判现场合理的时间内提供书面说明，必要时提交相关证明材料；竞标人不能证明其报价合理性的，谈判小组应当将其作为无效谈判处理。</w:t>
      </w:r>
    </w:p>
    <w:p w14:paraId="6208468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19.6谈判工作在有关部门的监督下依法开展，任何单位和个人不得非法干预、影响谈判工作和谈判结果。</w:t>
      </w:r>
    </w:p>
    <w:p w14:paraId="7B6D7030">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1" w:name="_Toc10327"/>
      <w:bookmarkStart w:id="152" w:name="_Toc25644_WPSOffice_Level3"/>
      <w:bookmarkStart w:id="153" w:name="_Toc2176"/>
      <w:bookmarkStart w:id="154" w:name="_Toc24288_WPSOffice_Level3"/>
      <w:bookmarkStart w:id="155" w:name="_Toc14903"/>
      <w:r>
        <w:rPr>
          <w:rFonts w:hint="eastAsia" w:ascii="楷体_GB2312" w:hAnsi="楷体_GB2312" w:eastAsia="楷体_GB2312" w:cs="楷体_GB2312"/>
          <w:b/>
          <w:bCs/>
          <w:kern w:val="2"/>
          <w:sz w:val="32"/>
          <w:szCs w:val="32"/>
          <w:lang w:val="en-US" w:eastAsia="zh-CN" w:bidi="ar-SA"/>
        </w:rPr>
        <w:t>20.澄清</w:t>
      </w:r>
      <w:bookmarkEnd w:id="151"/>
      <w:bookmarkEnd w:id="152"/>
      <w:bookmarkEnd w:id="153"/>
      <w:bookmarkEnd w:id="154"/>
      <w:bookmarkEnd w:id="155"/>
    </w:p>
    <w:p w14:paraId="1F45136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谈判小组在对响应文件(包括首次提交的响应文件、重新提交的响应文件)的有效性、完整性和对谈判文件的响应程度进行审查时，可以要求竞标人对响应文件中含义不明确、同类问题表述不一致或者有明显文字和计算错误的内容等作出必要的澄清、说明或者更正。</w:t>
      </w:r>
    </w:p>
    <w:p w14:paraId="2C87CFB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竞标人的澄清、说明或者更正响应文件应当采用书面形式，由法定代表人或其授权代表签字或者加盖公章。由授权代表签字的，应当附法定代表人授权书。竞标人为自然人的，应当由本人签字并附身份证明，竞标人的澄清、说明或者更正不得超出谈判文件的范围或者改变响应文件的实质性内容。</w:t>
      </w:r>
    </w:p>
    <w:p w14:paraId="6F184F7B">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6" w:name="_Toc4997"/>
      <w:bookmarkStart w:id="157" w:name="_Toc6898_WPSOffice_Level3"/>
      <w:bookmarkStart w:id="158" w:name="_Toc8374"/>
      <w:bookmarkStart w:id="159" w:name="_Toc13262_WPSOffice_Level3"/>
      <w:bookmarkStart w:id="160" w:name="_Toc18737"/>
      <w:r>
        <w:rPr>
          <w:rFonts w:hint="eastAsia" w:ascii="楷体_GB2312" w:hAnsi="楷体_GB2312" w:eastAsia="楷体_GB2312" w:cs="楷体_GB2312"/>
          <w:b/>
          <w:bCs/>
          <w:kern w:val="2"/>
          <w:sz w:val="32"/>
          <w:szCs w:val="32"/>
          <w:lang w:val="en-US" w:eastAsia="zh-CN" w:bidi="ar-SA"/>
        </w:rPr>
        <w:t>21.退出谈判</w:t>
      </w:r>
      <w:bookmarkEnd w:id="156"/>
      <w:bookmarkEnd w:id="157"/>
      <w:bookmarkEnd w:id="158"/>
      <w:bookmarkEnd w:id="159"/>
      <w:bookmarkEnd w:id="160"/>
    </w:p>
    <w:p w14:paraId="55807503">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竞标人在提交最后报价之前，可以根据谈判情况退出谈判，并由法定代表人或其授权代表签字或加盖公章书面通知招标人。招标人按规定退还退出谈判的竞标人的保证金。</w:t>
      </w:r>
    </w:p>
    <w:p w14:paraId="08B0660D">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1" w:name="_Toc14748"/>
      <w:bookmarkStart w:id="162" w:name="_Toc32003"/>
      <w:bookmarkStart w:id="163" w:name="_Toc1582"/>
      <w:bookmarkStart w:id="164" w:name="_Toc18169_WPSOffice_Level3"/>
      <w:bookmarkStart w:id="165" w:name="_Toc5048_WPSOffice_Level3"/>
      <w:r>
        <w:rPr>
          <w:rFonts w:hint="eastAsia" w:ascii="楷体_GB2312" w:hAnsi="楷体_GB2312" w:eastAsia="楷体_GB2312" w:cs="楷体_GB2312"/>
          <w:b/>
          <w:bCs/>
          <w:kern w:val="2"/>
          <w:sz w:val="32"/>
          <w:szCs w:val="32"/>
          <w:lang w:val="en-US" w:eastAsia="zh-CN" w:bidi="ar-SA"/>
        </w:rPr>
        <w:t>22.最后报价</w:t>
      </w:r>
      <w:bookmarkEnd w:id="161"/>
      <w:bookmarkEnd w:id="162"/>
      <w:bookmarkEnd w:id="163"/>
      <w:bookmarkEnd w:id="164"/>
      <w:bookmarkEnd w:id="165"/>
    </w:p>
    <w:p w14:paraId="6610CFD9">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22.1谈判结束后，符合谈判文件规定的实质性要求和条件的竞标人不少于3家的，谈判小组应当要求符合谈判文件规定的实质性要求和条件的竞标人在规定时间内提交最后报价。最后报价应由竞标人代表签字或者加盖竞标人单位公章。</w:t>
      </w:r>
    </w:p>
    <w:p w14:paraId="45FBEFB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22.2</w:t>
      </w:r>
      <w:r>
        <w:rPr>
          <w:rFonts w:hint="eastAsia" w:ascii="仿宋_GB2312" w:hAnsi="仿宋_GB2312" w:eastAsia="仿宋_GB2312" w:cs="仿宋_GB2312"/>
          <w:kern w:val="2"/>
          <w:sz w:val="32"/>
          <w:szCs w:val="32"/>
          <w:u w:val="single" w:color="auto"/>
          <w:lang w:val="en-US" w:eastAsia="zh-CN" w:bidi="ar-SA"/>
        </w:rPr>
        <w:t>谈判文件不能详细列明需求的技术、服务要求，需经谈判由竞标人提供最终设计方案或解决方案的，谈判结束后，谈判小组应当按照少数服从多数的原则投票推荐3家以上竞标人的设计方案或者解决方案，并要求其在规定时间内提交最后报价。</w:t>
      </w:r>
    </w:p>
    <w:p w14:paraId="2DBE812B">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22.3最后报价的评审</w:t>
      </w:r>
    </w:p>
    <w:p w14:paraId="351202B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最后报价出现大写金额和小写金额不一致的，以大写金额为准。</w:t>
      </w:r>
    </w:p>
    <w:p w14:paraId="6D67650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22.4</w:t>
      </w:r>
      <w:r>
        <w:rPr>
          <w:rFonts w:hint="eastAsia" w:ascii="仿宋_GB2312" w:hAnsi="仿宋_GB2312" w:eastAsia="仿宋_GB2312" w:cs="仿宋_GB2312"/>
          <w:kern w:val="2"/>
          <w:sz w:val="32"/>
          <w:szCs w:val="32"/>
          <w:u w:val="single" w:color="auto"/>
          <w:lang w:val="en-US" w:eastAsia="zh-CN" w:bidi="ar-SA"/>
        </w:rPr>
        <w:t>最后报价不能高于其响应文件中的首次报价。</w:t>
      </w:r>
    </w:p>
    <w:p w14:paraId="6E2323FB">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22.5招标人在按规定公布最终竞标人前，不得公开竞标人的技术资料、价格和其他信息。</w:t>
      </w:r>
    </w:p>
    <w:p w14:paraId="61ED9D4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22.6</w:t>
      </w:r>
      <w:r>
        <w:rPr>
          <w:rFonts w:hint="eastAsia" w:ascii="仿宋_GB2312" w:hAnsi="仿宋_GB2312" w:eastAsia="仿宋_GB2312" w:cs="仿宋_GB2312"/>
          <w:kern w:val="2"/>
          <w:sz w:val="32"/>
          <w:szCs w:val="32"/>
          <w:u w:val="single" w:color="auto"/>
          <w:lang w:val="en-US" w:eastAsia="zh-CN" w:bidi="ar-SA"/>
        </w:rPr>
        <w:t>若最后报价时出现最低价相同的情形，谈判小组应召集报价相同的竞标人进行再次报价（或直接提出成交候选人）</w:t>
      </w:r>
      <w:r>
        <w:rPr>
          <w:rFonts w:hint="eastAsia" w:ascii="仿宋_GB2312" w:hAnsi="仿宋_GB2312" w:eastAsia="仿宋_GB2312" w:cs="仿宋_GB2312"/>
          <w:kern w:val="2"/>
          <w:sz w:val="32"/>
          <w:szCs w:val="32"/>
          <w:lang w:val="en-US" w:eastAsia="zh-CN" w:bidi="ar-SA"/>
        </w:rPr>
        <w:t>（由招标人自主选择）。</w:t>
      </w:r>
    </w:p>
    <w:p w14:paraId="64824F84">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6" w:name="_Toc16084_WPSOffice_Level3"/>
      <w:bookmarkStart w:id="167" w:name="_Toc13644"/>
      <w:bookmarkStart w:id="168" w:name="_Toc7275"/>
      <w:bookmarkStart w:id="169" w:name="_Toc1797"/>
      <w:bookmarkStart w:id="170" w:name="_Toc8242_WPSOffice_Level3"/>
      <w:r>
        <w:rPr>
          <w:rFonts w:hint="eastAsia" w:ascii="楷体_GB2312" w:hAnsi="楷体_GB2312" w:eastAsia="楷体_GB2312" w:cs="楷体_GB2312"/>
          <w:b/>
          <w:bCs/>
          <w:kern w:val="2"/>
          <w:sz w:val="32"/>
          <w:szCs w:val="32"/>
          <w:lang w:val="en-US" w:eastAsia="zh-CN" w:bidi="ar-SA"/>
        </w:rPr>
        <w:t>23.确定成交</w:t>
      </w:r>
      <w:bookmarkEnd w:id="166"/>
      <w:bookmarkEnd w:id="167"/>
      <w:bookmarkEnd w:id="168"/>
      <w:bookmarkEnd w:id="169"/>
      <w:bookmarkEnd w:id="170"/>
      <w:r>
        <w:rPr>
          <w:rFonts w:hint="eastAsia" w:ascii="楷体_GB2312" w:hAnsi="楷体_GB2312" w:eastAsia="楷体_GB2312" w:cs="楷体_GB2312"/>
          <w:b/>
          <w:bCs/>
          <w:kern w:val="2"/>
          <w:sz w:val="32"/>
          <w:szCs w:val="32"/>
          <w:lang w:val="en-US" w:eastAsia="zh-CN" w:bidi="ar-SA"/>
        </w:rPr>
        <w:t>竞标人</w:t>
      </w:r>
    </w:p>
    <w:p w14:paraId="7E8B763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23.1谈判小组应当从质量和服务均能满足文件实质性响应要求的竞标人中，按照最后报价由低到高的顺序提出3名成交候选人，并编写评审报告。竞标人最后报价涉及算术修正、需落实相关政策的，按上款规定由低到高顺序排序。</w:t>
      </w:r>
    </w:p>
    <w:p w14:paraId="4C8EF26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4E4F62C">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23.3招标人应当在评审结束后3个工作日内确认评审结果。</w:t>
      </w:r>
    </w:p>
    <w:p w14:paraId="63EF641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23.4招标人应当在评审工作结束后7个工作日内，从评审报告提出的成交候选人中，根据质量和服务均能满足谈判文件实质性响应要求确定成交竞标人，也可以书面授权谈判小组直接确定成交竞标人。</w:t>
      </w:r>
    </w:p>
    <w:p w14:paraId="044B4984">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71" w:name="_Toc17639_WPSOffice_Level3"/>
      <w:bookmarkStart w:id="172" w:name="_Toc24684"/>
      <w:bookmarkStart w:id="173" w:name="_Toc20869_WPSOffice_Level3"/>
      <w:bookmarkStart w:id="174" w:name="_Toc26535"/>
      <w:bookmarkStart w:id="175" w:name="_Toc10295"/>
      <w:r>
        <w:rPr>
          <w:rFonts w:hint="eastAsia" w:ascii="楷体_GB2312" w:hAnsi="楷体_GB2312" w:eastAsia="楷体_GB2312" w:cs="楷体_GB2312"/>
          <w:b/>
          <w:bCs/>
          <w:kern w:val="2"/>
          <w:sz w:val="32"/>
          <w:szCs w:val="32"/>
          <w:lang w:val="en-US" w:eastAsia="zh-CN" w:bidi="ar-SA"/>
        </w:rPr>
        <w:t>24.重新评审</w:t>
      </w:r>
      <w:bookmarkEnd w:id="171"/>
      <w:bookmarkEnd w:id="172"/>
      <w:bookmarkEnd w:id="173"/>
      <w:bookmarkEnd w:id="174"/>
      <w:bookmarkEnd w:id="175"/>
    </w:p>
    <w:p w14:paraId="44DC55E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24.1除资格审查认定错误和价格计算错误外，不以任何理由组织重新评审。</w:t>
      </w:r>
    </w:p>
    <w:p w14:paraId="451DF85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24.2谈判小组未按照谈判文件规定的评定成交标准进行评审的，应当重新开展谈判活动。</w:t>
      </w:r>
    </w:p>
    <w:p w14:paraId="3E069105">
      <w:pPr>
        <w:pStyle w:val="9"/>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76" w:name="_Toc26374_WPSOffice_Level3"/>
      <w:bookmarkStart w:id="177" w:name="_Toc31655"/>
      <w:bookmarkStart w:id="178" w:name="_Toc3509"/>
      <w:bookmarkStart w:id="179" w:name="_Toc12673"/>
      <w:bookmarkStart w:id="180" w:name="_Toc1388_WPSOffice_Level3"/>
      <w:r>
        <w:rPr>
          <w:rFonts w:hint="eastAsia" w:ascii="楷体_GB2312" w:hAnsi="楷体_GB2312" w:eastAsia="楷体_GB2312" w:cs="楷体_GB2312"/>
          <w:b/>
          <w:bCs/>
          <w:kern w:val="2"/>
          <w:sz w:val="32"/>
          <w:szCs w:val="32"/>
          <w:lang w:val="en-US" w:eastAsia="zh-CN" w:bidi="ar-SA"/>
        </w:rPr>
        <w:t>25.谈判终止</w:t>
      </w:r>
      <w:bookmarkEnd w:id="176"/>
      <w:bookmarkEnd w:id="177"/>
      <w:bookmarkEnd w:id="178"/>
      <w:bookmarkEnd w:id="179"/>
      <w:bookmarkEnd w:id="180"/>
    </w:p>
    <w:p w14:paraId="0960389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25.1出现下列情形之一的，应当终止竞争性磋商谈判活动，在指定的媒体上发布项目终止公告并说明原因，重新开展： </w:t>
      </w:r>
    </w:p>
    <w:p w14:paraId="70A97D1C">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（1）因情况变化，不再符合规定的竞争性磋商方式适用情形的；</w:t>
      </w:r>
    </w:p>
    <w:p w14:paraId="0DE8337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（2）出现影响项目公正的违法、违规行为的；</w:t>
      </w:r>
    </w:p>
    <w:p w14:paraId="39B9684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（3）谈判过程中符合谈判要求的竞标人或者报价未超过采购预算的竞标人不足3家的，或者提交最后报价的竞标人少于3家的；</w:t>
      </w:r>
    </w:p>
    <w:p w14:paraId="2E5725E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（4）因重大变故，谈判任务取消的。</w:t>
      </w:r>
    </w:p>
    <w:p w14:paraId="0733588E">
      <w:pPr>
        <w:pStyle w:val="9"/>
        <w:keepNext/>
        <w:keepLines/>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81" w:name="_Toc32730"/>
      <w:bookmarkStart w:id="182" w:name="_Toc18635_WPSOffice_Level3"/>
      <w:bookmarkStart w:id="183" w:name="_Toc16353"/>
      <w:bookmarkStart w:id="184" w:name="_Toc20688_WPSOffice_Level3"/>
      <w:bookmarkStart w:id="185" w:name="_Toc11721"/>
      <w:r>
        <w:rPr>
          <w:rFonts w:hint="eastAsia" w:ascii="楷体_GB2312" w:hAnsi="楷体_GB2312" w:eastAsia="楷体_GB2312" w:cs="楷体_GB2312"/>
          <w:b/>
          <w:bCs/>
          <w:kern w:val="2"/>
          <w:sz w:val="32"/>
          <w:szCs w:val="32"/>
          <w:lang w:val="en-US" w:eastAsia="zh-CN" w:bidi="ar-SA"/>
        </w:rPr>
        <w:t>26.串通情形认定及处理</w:t>
      </w:r>
      <w:bookmarkEnd w:id="181"/>
      <w:bookmarkEnd w:id="182"/>
      <w:bookmarkEnd w:id="183"/>
      <w:bookmarkEnd w:id="184"/>
      <w:bookmarkEnd w:id="185"/>
    </w:p>
    <w:p w14:paraId="5287D35E">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lang w:val="en-US" w:eastAsia="zh-CN" w:bidi="ar-SA"/>
        </w:rPr>
        <w:t>26.1竞标人不得与其他竞标人恶意串通；不得向谈判小组成员行贿或者提供其他不正当利益；不得提供虚假材料谋取成交；不得以任何方式干扰、影响</w:t>
      </w:r>
      <w:r>
        <w:rPr>
          <w:rFonts w:hint="eastAsia" w:ascii="仿宋" w:hAnsi="仿宋" w:eastAsia="仿宋" w:cs="仿宋"/>
          <w:sz w:val="32"/>
          <w:szCs w:val="32"/>
          <w:lang w:val="en-US" w:eastAsia="zh-CN"/>
        </w:rPr>
        <w:t>采购工作。</w:t>
      </w:r>
    </w:p>
    <w:p w14:paraId="7462C165">
      <w:pPr>
        <w:widowControl w:val="0"/>
        <w:wordWrap/>
        <w:spacing w:line="560" w:lineRule="exact"/>
        <w:ind w:left="0" w:leftChars="0" w:right="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26.2有下列情形之一的，成交无效，对竞标人</w:t>
      </w:r>
      <w:r>
        <w:rPr>
          <w:rFonts w:hint="eastAsia" w:ascii="仿宋" w:hAnsi="仿宋" w:eastAsia="仿宋" w:cs="仿宋"/>
          <w:sz w:val="32"/>
          <w:szCs w:val="32"/>
          <w:lang w:val="zh-CN" w:eastAsia="zh-CN"/>
        </w:rPr>
        <w:t>依照</w:t>
      </w:r>
      <w:r>
        <w:rPr>
          <w:rFonts w:hint="eastAsia" w:ascii="仿宋" w:hAnsi="仿宋" w:eastAsia="仿宋" w:cs="仿宋"/>
          <w:sz w:val="32"/>
          <w:szCs w:val="32"/>
          <w:lang w:val="en-US" w:eastAsia="zh-CN"/>
        </w:rPr>
        <w:t>相关法律法规</w:t>
      </w:r>
      <w:r>
        <w:rPr>
          <w:rFonts w:hint="eastAsia" w:ascii="仿宋" w:hAnsi="仿宋" w:eastAsia="仿宋" w:cs="仿宋"/>
          <w:sz w:val="32"/>
          <w:szCs w:val="32"/>
          <w:lang w:val="zh-CN" w:eastAsia="zh-CN"/>
        </w:rPr>
        <w:t>的规定追究法律责任：</w:t>
      </w:r>
    </w:p>
    <w:p w14:paraId="69F8B6C1">
      <w:pPr>
        <w:widowControl w:val="0"/>
        <w:wordWrap/>
        <w:spacing w:line="560" w:lineRule="exact"/>
        <w:ind w:right="0"/>
        <w:textAlignment w:val="auto"/>
        <w:outlineLvl w:val="9"/>
        <w:rPr>
          <w:rFonts w:hint="eastAsia" w:ascii="仿宋" w:hAnsi="仿宋" w:eastAsia="仿宋" w:cs="仿宋"/>
          <w:sz w:val="32"/>
          <w:szCs w:val="32"/>
          <w:lang w:val="en-US" w:eastAsia="zh-CN"/>
        </w:rPr>
      </w:pPr>
      <w:bookmarkStart w:id="186" w:name="_Toc22761"/>
      <w:bookmarkStart w:id="187" w:name="_Toc34637770"/>
      <w:r>
        <w:rPr>
          <w:rFonts w:hint="eastAsia" w:ascii="仿宋" w:hAnsi="仿宋" w:eastAsia="仿宋" w:cs="仿宋"/>
          <w:sz w:val="32"/>
          <w:szCs w:val="32"/>
          <w:lang w:val="en-US" w:eastAsia="zh-CN"/>
        </w:rPr>
        <w:t xml:space="preserve">   （1）竞标人直接或者间接从招标人处获得其他竞标人的相关情况并修改其响应文件；</w:t>
      </w:r>
    </w:p>
    <w:p w14:paraId="0E45A6F2">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（2）竞标人按照招标人的授意撤换、修改响应文件；</w:t>
      </w:r>
    </w:p>
    <w:p w14:paraId="17B133AC">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（3）竞标人之间协商报价、技术方案等响应文件的实质性内容；</w:t>
      </w:r>
    </w:p>
    <w:p w14:paraId="35B59F75">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（4）属于同一集团、协会、商会等组织成员的竞标人按照该组织要求协同参加谈判活动；</w:t>
      </w:r>
    </w:p>
    <w:p w14:paraId="46392924">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（5）竞标人之间事先约定由某一特定竞标人成交；</w:t>
      </w:r>
    </w:p>
    <w:p w14:paraId="0B10D9C6">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（6）竞标人之间商定部分竞标人放弃参加谈判活动或者放弃成交；</w:t>
      </w:r>
    </w:p>
    <w:p w14:paraId="78A8E656">
      <w:pPr>
        <w:widowControl w:val="0"/>
        <w:wordWrap/>
        <w:spacing w:line="56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（7）竞标人与招标人、竞标人相互之间，为谋求特定竞标人成交或者排斥其他竞标人的其他串通行为。</w:t>
      </w:r>
    </w:p>
    <w:p w14:paraId="1139D5EC">
      <w:pPr>
        <w:widowControl w:val="0"/>
        <w:wordWrap/>
        <w:spacing w:line="560" w:lineRule="exact"/>
        <w:ind w:right="0" w:firstLine="640" w:firstLineChars="200"/>
        <w:textAlignment w:val="auto"/>
        <w:outlineLvl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 有下列情形之一的，视为竞标人串通，其响应无效：</w:t>
      </w:r>
    </w:p>
    <w:p w14:paraId="77AFC5D9">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（1）不同竞标人的响应文件由同一单位或者个人编制；</w:t>
      </w:r>
    </w:p>
    <w:p w14:paraId="28276E2D">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（2）不同竞标人委托同一单位或者个人办理谈判事宜；</w:t>
      </w:r>
    </w:p>
    <w:p w14:paraId="5A9E3AD7">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（3）不同竞标人的响应文件载明的项目管理成员或者联系人员为同一人；</w:t>
      </w:r>
    </w:p>
    <w:p w14:paraId="18984322">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（4）不同竞标人的响应文件异常一致或者报价呈规律性差异；</w:t>
      </w:r>
    </w:p>
    <w:p w14:paraId="2398A3C2">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（5）不同竞标人的响应文件相互混装；</w:t>
      </w:r>
    </w:p>
    <w:p w14:paraId="52E2389B">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（6）不同竞标人的保证金从同一单位或者个人的账户转出。</w:t>
      </w:r>
    </w:p>
    <w:p w14:paraId="1BBBC1C3">
      <w:pPr>
        <w:widowControl w:val="0"/>
        <w:wordWrap/>
        <w:spacing w:line="560" w:lineRule="exact"/>
        <w:ind w:right="0" w:firstLine="640" w:firstLineChars="200"/>
        <w:textAlignment w:val="auto"/>
        <w:outlineLvl w:val="1"/>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 xml:space="preserve">               </w:t>
      </w:r>
      <w:bookmarkStart w:id="188" w:name="_Toc11827"/>
      <w:r>
        <w:rPr>
          <w:rFonts w:hint="eastAsia" w:ascii="黑体" w:hAnsi="黑体" w:eastAsia="黑体" w:cs="黑体"/>
          <w:b w:val="0"/>
          <w:bCs w:val="0"/>
          <w:kern w:val="2"/>
          <w:sz w:val="32"/>
          <w:szCs w:val="32"/>
          <w:highlight w:val="none"/>
          <w:lang w:val="en-US" w:eastAsia="zh-CN" w:bidi="ar-SA"/>
        </w:rPr>
        <w:t>六、成交结果信息公布与授予合同</w:t>
      </w:r>
      <w:bookmarkEnd w:id="186"/>
      <w:bookmarkEnd w:id="187"/>
      <w:bookmarkEnd w:id="188"/>
    </w:p>
    <w:p w14:paraId="3389F011">
      <w:pPr>
        <w:pStyle w:val="9"/>
        <w:keepNext/>
        <w:keepLines/>
        <w:widowControl w:val="0"/>
        <w:wordWrap/>
        <w:adjustRightInd w:val="0"/>
        <w:snapToGrid w:val="0"/>
        <w:spacing w:before="157" w:beforeLines="50" w:after="0" w:line="560" w:lineRule="exact"/>
        <w:textAlignment w:val="auto"/>
        <w:outlineLvl w:val="2"/>
        <w:rPr>
          <w:rFonts w:hint="eastAsia" w:ascii="仿宋_GB2312" w:hAnsi="仿宋_GB2312" w:eastAsia="仿宋_GB2312" w:cs="仿宋_GB2312"/>
          <w:b/>
          <w:bCs/>
          <w:kern w:val="2"/>
          <w:sz w:val="30"/>
          <w:szCs w:val="30"/>
          <w:lang w:val="en-US" w:eastAsia="zh-CN" w:bidi="ar-SA"/>
        </w:rPr>
      </w:pPr>
      <w:bookmarkStart w:id="189" w:name="_Toc8339_WPSOffice_Level3"/>
      <w:bookmarkStart w:id="190" w:name="_Toc30784_WPSOffice_Level3"/>
      <w:bookmarkStart w:id="191" w:name="_Toc16176"/>
      <w:bookmarkStart w:id="192" w:name="_Toc23126"/>
      <w:bookmarkStart w:id="193" w:name="_Toc947"/>
      <w:r>
        <w:rPr>
          <w:rFonts w:hint="eastAsia" w:ascii="楷体_GB2312" w:hAnsi="楷体_GB2312" w:eastAsia="楷体_GB2312" w:cs="楷体_GB2312"/>
          <w:b/>
          <w:bCs/>
          <w:kern w:val="2"/>
          <w:sz w:val="32"/>
          <w:szCs w:val="32"/>
          <w:lang w:val="en-US" w:eastAsia="zh-CN" w:bidi="ar-SA"/>
        </w:rPr>
        <w:t>27.成交信息的公布与通知</w:t>
      </w:r>
      <w:bookmarkEnd w:id="189"/>
      <w:bookmarkEnd w:id="190"/>
      <w:bookmarkEnd w:id="191"/>
      <w:bookmarkEnd w:id="192"/>
      <w:bookmarkEnd w:id="193"/>
    </w:p>
    <w:p w14:paraId="6D34097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27.1招标人应自确定成交竞标人之日起3个工作日内在相应网站公告成交结果，同时向成交竞标人发出《中标通知书》。</w:t>
      </w:r>
    </w:p>
    <w:p w14:paraId="16A7C6B8">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27.2成交结果公告应当包括以下内容：</w:t>
      </w:r>
    </w:p>
    <w:p w14:paraId="76DCF206">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（1）招标人名称；</w:t>
      </w:r>
    </w:p>
    <w:p w14:paraId="29AE0C61">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（2）项目名称和项目编号；</w:t>
      </w:r>
    </w:p>
    <w:p w14:paraId="6C3135D5">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（3）成交竞标人名称；</w:t>
      </w:r>
    </w:p>
    <w:p w14:paraId="242AFF6D">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27.3《中标通知书》发出后，成交竞标人无正当理由不得放弃。</w:t>
      </w:r>
    </w:p>
    <w:p w14:paraId="19C4AEA6">
      <w:pPr>
        <w:pStyle w:val="9"/>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94" w:name="_Toc5068_WPSOffice_Level3"/>
      <w:bookmarkStart w:id="195" w:name="_Toc4491"/>
      <w:bookmarkStart w:id="196" w:name="_Toc13860_WPSOffice_Level3"/>
      <w:bookmarkStart w:id="197" w:name="_Toc20586"/>
      <w:bookmarkStart w:id="198" w:name="_Toc29441"/>
      <w:r>
        <w:rPr>
          <w:rFonts w:hint="eastAsia" w:ascii="楷体_GB2312" w:hAnsi="楷体_GB2312" w:eastAsia="楷体_GB2312" w:cs="楷体_GB2312"/>
          <w:b/>
          <w:bCs/>
          <w:kern w:val="2"/>
          <w:sz w:val="32"/>
          <w:szCs w:val="32"/>
          <w:lang w:val="en-US" w:eastAsia="zh-CN" w:bidi="ar-SA"/>
        </w:rPr>
        <w:t>28.授予合同</w:t>
      </w:r>
      <w:bookmarkEnd w:id="194"/>
      <w:bookmarkEnd w:id="195"/>
      <w:bookmarkEnd w:id="196"/>
      <w:bookmarkEnd w:id="197"/>
      <w:bookmarkEnd w:id="198"/>
    </w:p>
    <w:p w14:paraId="4B81C767">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28.1谈判文件、成交竞标人的响应文件及其补充的响应文件、中标通知书等均为签订合同的依据。</w:t>
      </w:r>
    </w:p>
    <w:p w14:paraId="71CDCB44">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28.2招标人与成交竞标人双方应当自《中标通知书》发出之日起30日内，按照谈判文件确定的合同文本以及项目标的、规格型号、金额、数量、技术和服务要求等事项签订合同。</w:t>
      </w:r>
    </w:p>
    <w:p w14:paraId="04B44E3A">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28.3招标人不得向成交竞标人提出超出谈判文件以外的任何要求作为订立合同的条件，不得与成交竞标人订立背离谈判文件确定的合同文本以及标的、规格型号、金额、数量、技术和服务要求等实质性内容的协议。</w:t>
      </w:r>
    </w:p>
    <w:p w14:paraId="461C0092">
      <w:pPr>
        <w:pStyle w:val="9"/>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99" w:name="_Toc32499"/>
      <w:bookmarkStart w:id="200" w:name="_Toc8740_WPSOffice_Level3"/>
      <w:bookmarkStart w:id="201" w:name="_Toc16374"/>
      <w:bookmarkStart w:id="202" w:name="_Toc32538"/>
      <w:bookmarkStart w:id="203" w:name="_Toc16258_WPSOffice_Level3"/>
      <w:bookmarkStart w:id="204" w:name="_Toc325726030"/>
      <w:bookmarkStart w:id="205" w:name="_Toc376936761"/>
      <w:r>
        <w:rPr>
          <w:rFonts w:hint="eastAsia" w:ascii="楷体_GB2312" w:hAnsi="楷体_GB2312" w:eastAsia="楷体_GB2312" w:cs="楷体_GB2312"/>
          <w:b/>
          <w:bCs/>
          <w:kern w:val="2"/>
          <w:sz w:val="32"/>
          <w:szCs w:val="32"/>
          <w:lang w:val="en-US" w:eastAsia="zh-CN" w:bidi="ar-SA"/>
        </w:rPr>
        <w:t>29.履约验收</w:t>
      </w:r>
      <w:bookmarkEnd w:id="199"/>
      <w:bookmarkEnd w:id="200"/>
      <w:bookmarkEnd w:id="201"/>
      <w:bookmarkEnd w:id="202"/>
      <w:bookmarkEnd w:id="203"/>
    </w:p>
    <w:p w14:paraId="462198CA">
      <w:pPr>
        <w:widowControl w:val="0"/>
        <w:wordWrap/>
        <w:adjustRightInd w:val="0"/>
        <w:snapToGrid w:val="0"/>
        <w:spacing w:line="560" w:lineRule="exact"/>
        <w:ind w:firstLine="640" w:firstLineChars="200"/>
        <w:jc w:val="left"/>
        <w:textAlignment w:val="auto"/>
        <w:outlineLvl w:val="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29.1履约保证金：</w:t>
      </w:r>
      <w:r>
        <w:rPr>
          <w:rFonts w:hint="eastAsia" w:ascii="仿宋_GB2312" w:hAnsi="仿宋_GB2312" w:eastAsia="仿宋_GB2312" w:cs="仿宋_GB2312"/>
          <w:kern w:val="2"/>
          <w:sz w:val="32"/>
          <w:szCs w:val="32"/>
          <w:u w:val="single"/>
          <w:lang w:val="en-US" w:eastAsia="zh-CN" w:bidi="ar-SA"/>
        </w:rPr>
        <w:t>无</w:t>
      </w:r>
    </w:p>
    <w:p w14:paraId="565FDA13">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29.2招标人应当按照合同规定的技术、服务、安全标准组织对竞标人履约情况进行验收，并出具验收书。验收书应当包括每一项技术、服务、安全标准的履约情况。</w:t>
      </w:r>
    </w:p>
    <w:p w14:paraId="3940098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29.3招标人可以邀请参加本项目的其他竞标人或者第三方机构参与验收。参与验收的竞标人或者第三方机构的意见作为验收书的参考资料一并存档。</w:t>
      </w:r>
    </w:p>
    <w:p w14:paraId="29815D98">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29.4招标人应当加强履约管理，并按照合同约定，及时向成交竞标人支付资金。对于成交竞标人违反合同约定的行为，应当及时处理，依法追究其违约责任。</w:t>
      </w:r>
    </w:p>
    <w:p w14:paraId="125505EA">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29.5招标人应当建立真实完整的谈判档案，妥善保存谈判的相关资料。</w:t>
      </w:r>
    </w:p>
    <w:p w14:paraId="2EBE5AD2">
      <w:pPr>
        <w:widowControl w:val="0"/>
        <w:wordWrap/>
        <w:adjustRightInd w:val="0"/>
        <w:snapToGrid w:val="0"/>
        <w:spacing w:before="157" w:beforeLines="50" w:line="560" w:lineRule="exact"/>
        <w:jc w:val="both"/>
        <w:textAlignment w:val="auto"/>
        <w:outlineLvl w:val="9"/>
        <w:rPr>
          <w:rFonts w:hint="eastAsia" w:ascii="黑体" w:hAnsi="黑体" w:eastAsia="黑体" w:cs="黑体"/>
          <w:b w:val="0"/>
          <w:bCs w:val="0"/>
          <w:kern w:val="2"/>
          <w:sz w:val="32"/>
          <w:szCs w:val="32"/>
          <w:highlight w:val="none"/>
          <w:lang w:val="en-US" w:eastAsia="zh-CN" w:bidi="ar-SA"/>
        </w:rPr>
      </w:pPr>
      <w:bookmarkStart w:id="206" w:name="_Toc6881"/>
      <w:bookmarkStart w:id="207" w:name="_Toc32362"/>
      <w:bookmarkStart w:id="208" w:name="_Toc2658_WPSOffice_Level2"/>
      <w:bookmarkStart w:id="209" w:name="_Toc3517_WPSOffice_Level2"/>
      <w:bookmarkStart w:id="210" w:name="_Toc31604_WPSOffice_Level2"/>
      <w:bookmarkStart w:id="211" w:name="_Toc4328"/>
    </w:p>
    <w:p w14:paraId="58AD3850">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12" w:name="_Toc27649"/>
      <w:r>
        <w:rPr>
          <w:rFonts w:hint="eastAsia" w:ascii="黑体" w:hAnsi="黑体" w:eastAsia="黑体" w:cs="黑体"/>
          <w:b w:val="0"/>
          <w:bCs w:val="0"/>
          <w:kern w:val="2"/>
          <w:sz w:val="32"/>
          <w:szCs w:val="32"/>
          <w:highlight w:val="none"/>
          <w:lang w:val="en-US" w:eastAsia="zh-CN" w:bidi="ar-SA"/>
        </w:rPr>
        <w:t>七、询问与质疑</w:t>
      </w:r>
      <w:bookmarkEnd w:id="204"/>
      <w:bookmarkEnd w:id="205"/>
      <w:bookmarkEnd w:id="206"/>
      <w:bookmarkEnd w:id="207"/>
      <w:bookmarkEnd w:id="208"/>
      <w:bookmarkEnd w:id="209"/>
      <w:bookmarkEnd w:id="210"/>
      <w:bookmarkEnd w:id="211"/>
      <w:bookmarkEnd w:id="212"/>
    </w:p>
    <w:p w14:paraId="3DA36E2D">
      <w:pPr>
        <w:pStyle w:val="9"/>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13" w:name="_Toc7415"/>
      <w:bookmarkStart w:id="214" w:name="_Toc29785"/>
      <w:bookmarkStart w:id="215" w:name="_Toc21641"/>
      <w:bookmarkStart w:id="216" w:name="_Toc25982_WPSOffice_Level3"/>
      <w:bookmarkStart w:id="217" w:name="_Toc23314_WPSOffice_Level3"/>
      <w:r>
        <w:rPr>
          <w:rFonts w:hint="eastAsia" w:ascii="楷体_GB2312" w:hAnsi="楷体_GB2312" w:eastAsia="楷体_GB2312" w:cs="楷体_GB2312"/>
          <w:b/>
          <w:bCs/>
          <w:kern w:val="2"/>
          <w:sz w:val="32"/>
          <w:szCs w:val="32"/>
          <w:lang w:val="en-US" w:eastAsia="zh-CN" w:bidi="ar-SA"/>
        </w:rPr>
        <w:t>30.对谈判过程、结果的询问及质疑</w:t>
      </w:r>
      <w:bookmarkEnd w:id="213"/>
      <w:bookmarkEnd w:id="214"/>
      <w:bookmarkEnd w:id="215"/>
      <w:bookmarkEnd w:id="216"/>
      <w:bookmarkEnd w:id="217"/>
    </w:p>
    <w:p w14:paraId="34B258CF">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30.1竞标人对谈判过程、结果有疑问的，可以向招标人提出询问。</w:t>
      </w:r>
    </w:p>
    <w:p w14:paraId="64766D42">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30.2参与所质疑项目的竞标人认为谈判过程、成交结果使自己的权益受到损害的，可以在知道或者应知其权益受到损害之日起7个工作日内，以书面形式向招标人提出质疑。</w:t>
      </w:r>
    </w:p>
    <w:p w14:paraId="460ACCA0">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30.3竞标人应在法定质疑期内一次性提出针对同一谈判程序环节的质疑。</w:t>
      </w:r>
    </w:p>
    <w:p w14:paraId="6D88D4C1">
      <w:pPr>
        <w:widowControl w:val="0"/>
        <w:numPr>
          <w:ilvl w:val="0"/>
          <w:numId w:val="4"/>
        </w:numPr>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18" w:name="_Toc30960"/>
      <w:bookmarkStart w:id="219" w:name="_Toc15316"/>
      <w:bookmarkStart w:id="220" w:name="_Toc6628"/>
      <w:bookmarkStart w:id="221" w:name="_Toc15805"/>
      <w:bookmarkStart w:id="222" w:name="_Toc34637772"/>
      <w:bookmarkStart w:id="223" w:name="_Toc3719_WPSOffice_Level2"/>
      <w:bookmarkStart w:id="224" w:name="_Toc10843_WPSOffice_Level2"/>
      <w:bookmarkStart w:id="225" w:name="_Toc28078_WPSOffice_Level2"/>
      <w:r>
        <w:rPr>
          <w:rFonts w:hint="eastAsia" w:ascii="黑体" w:hAnsi="黑体" w:eastAsia="黑体" w:cs="黑体"/>
          <w:b w:val="0"/>
          <w:bCs w:val="0"/>
          <w:kern w:val="2"/>
          <w:sz w:val="32"/>
          <w:szCs w:val="32"/>
          <w:highlight w:val="none"/>
          <w:lang w:val="en-US" w:eastAsia="zh-CN" w:bidi="ar-SA"/>
        </w:rPr>
        <w:t>其他规定</w:t>
      </w:r>
      <w:bookmarkEnd w:id="218"/>
      <w:bookmarkEnd w:id="219"/>
      <w:bookmarkEnd w:id="220"/>
      <w:bookmarkEnd w:id="221"/>
      <w:bookmarkEnd w:id="222"/>
      <w:bookmarkEnd w:id="223"/>
      <w:bookmarkEnd w:id="224"/>
      <w:bookmarkEnd w:id="225"/>
    </w:p>
    <w:p w14:paraId="4444C5E2">
      <w:pPr>
        <w:pStyle w:val="8"/>
        <w:jc w:val="both"/>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31.评标办法前附表</w:t>
      </w:r>
    </w:p>
    <w:tbl>
      <w:tblPr>
        <w:tblStyle w:val="23"/>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350"/>
        <w:gridCol w:w="2859"/>
        <w:gridCol w:w="3625"/>
      </w:tblGrid>
      <w:tr w14:paraId="6495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gridSpan w:val="2"/>
          </w:tcPr>
          <w:p w14:paraId="4113B9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条款号</w:t>
            </w:r>
          </w:p>
        </w:tc>
        <w:tc>
          <w:tcPr>
            <w:tcW w:w="2859" w:type="dxa"/>
          </w:tcPr>
          <w:p w14:paraId="3179E2E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评审因素</w:t>
            </w:r>
          </w:p>
        </w:tc>
        <w:tc>
          <w:tcPr>
            <w:tcW w:w="3625" w:type="dxa"/>
          </w:tcPr>
          <w:p w14:paraId="0169B36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评审标准</w:t>
            </w:r>
          </w:p>
        </w:tc>
      </w:tr>
      <w:tr w14:paraId="2012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7BA973A0">
            <w:pPr>
              <w:rPr>
                <w:rFonts w:ascii="仿宋_GB2312" w:hAnsi="仿宋_GB2312" w:eastAsia="仿宋_GB2312" w:cs="仿宋_GB2312"/>
                <w:sz w:val="28"/>
                <w:szCs w:val="28"/>
              </w:rPr>
            </w:pPr>
            <w:r>
              <w:rPr>
                <w:rFonts w:hint="eastAsia" w:ascii="仿宋_GB2312" w:hAnsi="仿宋_GB2312" w:eastAsia="仿宋_GB2312" w:cs="仿宋_GB2312"/>
                <w:sz w:val="28"/>
                <w:szCs w:val="28"/>
              </w:rPr>
              <w:t>31.1</w:t>
            </w:r>
          </w:p>
        </w:tc>
        <w:tc>
          <w:tcPr>
            <w:tcW w:w="2350" w:type="dxa"/>
            <w:vMerge w:val="restart"/>
            <w:vAlign w:val="center"/>
          </w:tcPr>
          <w:p w14:paraId="6C4B8EEF">
            <w:pPr>
              <w:rPr>
                <w:rFonts w:ascii="仿宋_GB2312" w:hAnsi="仿宋_GB2312" w:eastAsia="仿宋_GB2312" w:cs="仿宋_GB2312"/>
                <w:sz w:val="28"/>
                <w:szCs w:val="28"/>
              </w:rPr>
            </w:pPr>
            <w:r>
              <w:rPr>
                <w:rFonts w:hint="eastAsia" w:ascii="仿宋_GB2312" w:hAnsi="仿宋_GB2312" w:eastAsia="仿宋_GB2312" w:cs="仿宋_GB2312"/>
                <w:sz w:val="28"/>
                <w:szCs w:val="28"/>
              </w:rPr>
              <w:t>形式评审标准</w:t>
            </w:r>
          </w:p>
        </w:tc>
        <w:tc>
          <w:tcPr>
            <w:tcW w:w="2859" w:type="dxa"/>
          </w:tcPr>
          <w:p w14:paraId="56BEF8E4">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w:t>
            </w:r>
          </w:p>
        </w:tc>
        <w:tc>
          <w:tcPr>
            <w:tcW w:w="3625" w:type="dxa"/>
          </w:tcPr>
          <w:p w14:paraId="1E79EE6A">
            <w:pPr>
              <w:rPr>
                <w:rFonts w:ascii="仿宋_GB2312" w:hAnsi="仿宋_GB2312" w:eastAsia="仿宋_GB2312" w:cs="仿宋_GB2312"/>
                <w:sz w:val="28"/>
                <w:szCs w:val="28"/>
              </w:rPr>
            </w:pPr>
            <w:r>
              <w:rPr>
                <w:rFonts w:hint="eastAsia" w:ascii="仿宋_GB2312" w:hAnsi="仿宋_GB2312" w:eastAsia="仿宋_GB2312" w:cs="仿宋_GB2312"/>
                <w:sz w:val="28"/>
                <w:szCs w:val="28"/>
              </w:rPr>
              <w:t>与统一社会信用代码证书、资质证书一致</w:t>
            </w:r>
          </w:p>
        </w:tc>
      </w:tr>
      <w:tr w14:paraId="3358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41AFD7C3">
            <w:pPr>
              <w:rPr>
                <w:rFonts w:ascii="仿宋_GB2312" w:hAnsi="仿宋_GB2312" w:eastAsia="仿宋_GB2312" w:cs="仿宋_GB2312"/>
                <w:sz w:val="28"/>
                <w:szCs w:val="28"/>
              </w:rPr>
            </w:pPr>
          </w:p>
        </w:tc>
        <w:tc>
          <w:tcPr>
            <w:tcW w:w="2350" w:type="dxa"/>
            <w:vMerge w:val="continue"/>
          </w:tcPr>
          <w:p w14:paraId="4EB6B183">
            <w:pPr>
              <w:rPr>
                <w:rFonts w:ascii="仿宋_GB2312" w:hAnsi="仿宋_GB2312" w:eastAsia="仿宋_GB2312" w:cs="仿宋_GB2312"/>
                <w:sz w:val="28"/>
                <w:szCs w:val="28"/>
              </w:rPr>
            </w:pPr>
          </w:p>
        </w:tc>
        <w:tc>
          <w:tcPr>
            <w:tcW w:w="2859" w:type="dxa"/>
          </w:tcPr>
          <w:p w14:paraId="5C1CB37D">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投标函签字盖章</w:t>
            </w:r>
          </w:p>
        </w:tc>
        <w:tc>
          <w:tcPr>
            <w:tcW w:w="3625" w:type="dxa"/>
          </w:tcPr>
          <w:p w14:paraId="5C1CEF65">
            <w:pPr>
              <w:rPr>
                <w:rFonts w:ascii="仿宋_GB2312" w:hAnsi="仿宋_GB2312" w:eastAsia="仿宋_GB2312" w:cs="仿宋_GB2312"/>
                <w:sz w:val="28"/>
                <w:szCs w:val="28"/>
              </w:rPr>
            </w:pPr>
            <w:r>
              <w:rPr>
                <w:rFonts w:hint="eastAsia" w:ascii="仿宋_GB2312" w:hAnsi="仿宋_GB2312" w:eastAsia="仿宋_GB2312" w:cs="仿宋_GB2312"/>
                <w:sz w:val="28"/>
                <w:szCs w:val="28"/>
              </w:rPr>
              <w:t>是否按照竞争性磋商文件规定要求密封、签署、盖章</w:t>
            </w:r>
          </w:p>
        </w:tc>
      </w:tr>
      <w:tr w14:paraId="134F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4B52803C">
            <w:pPr>
              <w:rPr>
                <w:rFonts w:ascii="仿宋_GB2312" w:hAnsi="仿宋_GB2312" w:eastAsia="仿宋_GB2312" w:cs="仿宋_GB2312"/>
                <w:sz w:val="28"/>
                <w:szCs w:val="28"/>
              </w:rPr>
            </w:pPr>
          </w:p>
        </w:tc>
        <w:tc>
          <w:tcPr>
            <w:tcW w:w="2350" w:type="dxa"/>
            <w:vMerge w:val="continue"/>
          </w:tcPr>
          <w:p w14:paraId="49F28532">
            <w:pPr>
              <w:rPr>
                <w:rFonts w:ascii="仿宋_GB2312" w:hAnsi="仿宋_GB2312" w:eastAsia="仿宋_GB2312" w:cs="仿宋_GB2312"/>
                <w:sz w:val="28"/>
                <w:szCs w:val="28"/>
              </w:rPr>
            </w:pPr>
          </w:p>
        </w:tc>
        <w:tc>
          <w:tcPr>
            <w:tcW w:w="2859" w:type="dxa"/>
          </w:tcPr>
          <w:p w14:paraId="0AAE5D02">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投标文件格式</w:t>
            </w:r>
          </w:p>
        </w:tc>
        <w:tc>
          <w:tcPr>
            <w:tcW w:w="3625" w:type="dxa"/>
          </w:tcPr>
          <w:p w14:paraId="451E95FC">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符合“投标文件格式”的要求</w:t>
            </w:r>
          </w:p>
        </w:tc>
      </w:tr>
      <w:tr w14:paraId="5115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445BA831">
            <w:pPr>
              <w:rPr>
                <w:rFonts w:ascii="仿宋_GB2312" w:hAnsi="仿宋_GB2312" w:eastAsia="仿宋_GB2312" w:cs="仿宋_GB2312"/>
                <w:sz w:val="28"/>
                <w:szCs w:val="28"/>
              </w:rPr>
            </w:pPr>
            <w:r>
              <w:rPr>
                <w:rFonts w:hint="eastAsia" w:ascii="仿宋_GB2312" w:hAnsi="仿宋_GB2312" w:eastAsia="仿宋_GB2312" w:cs="仿宋_GB2312"/>
                <w:sz w:val="28"/>
                <w:szCs w:val="28"/>
              </w:rPr>
              <w:t>31.2</w:t>
            </w:r>
          </w:p>
        </w:tc>
        <w:tc>
          <w:tcPr>
            <w:tcW w:w="2350" w:type="dxa"/>
            <w:vMerge w:val="restart"/>
            <w:vAlign w:val="center"/>
          </w:tcPr>
          <w:p w14:paraId="28768325">
            <w:pPr>
              <w:rPr>
                <w:rFonts w:ascii="仿宋_GB2312" w:hAnsi="仿宋_GB2312" w:eastAsia="仿宋_GB2312" w:cs="仿宋_GB2312"/>
                <w:sz w:val="28"/>
                <w:szCs w:val="28"/>
              </w:rPr>
            </w:pPr>
            <w:r>
              <w:rPr>
                <w:rFonts w:hint="eastAsia" w:ascii="仿宋_GB2312" w:hAnsi="仿宋_GB2312" w:eastAsia="仿宋_GB2312" w:cs="仿宋_GB2312"/>
                <w:sz w:val="28"/>
                <w:szCs w:val="28"/>
              </w:rPr>
              <w:t>资格评审标准</w:t>
            </w:r>
          </w:p>
        </w:tc>
        <w:tc>
          <w:tcPr>
            <w:tcW w:w="2859" w:type="dxa"/>
          </w:tcPr>
          <w:p w14:paraId="27BAF94D">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有效证件</w:t>
            </w:r>
          </w:p>
        </w:tc>
        <w:tc>
          <w:tcPr>
            <w:tcW w:w="3625" w:type="dxa"/>
          </w:tcPr>
          <w:p w14:paraId="2FDD56D5">
            <w:pPr>
              <w:rPr>
                <w:rFonts w:ascii="仿宋_GB2312" w:hAnsi="仿宋_GB2312" w:eastAsia="仿宋_GB2312" w:cs="仿宋_GB2312"/>
                <w:sz w:val="28"/>
                <w:szCs w:val="28"/>
              </w:rPr>
            </w:pPr>
            <w:r>
              <w:rPr>
                <w:rFonts w:hint="eastAsia" w:ascii="仿宋_GB2312" w:hAnsi="仿宋_GB2312" w:eastAsia="仿宋_GB2312" w:cs="仿宋_GB2312"/>
                <w:sz w:val="28"/>
                <w:szCs w:val="28"/>
              </w:rPr>
              <w:t>具有合格、有效的三证合一营业执照、基本账户证明（开户许可证或银行出具的开户证明）</w:t>
            </w:r>
          </w:p>
        </w:tc>
      </w:tr>
      <w:tr w14:paraId="2D2C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14:paraId="4EA15A1D">
            <w:pPr>
              <w:rPr>
                <w:rFonts w:hint="eastAsia" w:ascii="仿宋_GB2312" w:hAnsi="仿宋_GB2312" w:eastAsia="仿宋_GB2312" w:cs="仿宋_GB2312"/>
                <w:sz w:val="28"/>
                <w:szCs w:val="28"/>
              </w:rPr>
            </w:pPr>
          </w:p>
        </w:tc>
        <w:tc>
          <w:tcPr>
            <w:tcW w:w="2350" w:type="dxa"/>
            <w:vMerge w:val="continue"/>
            <w:vAlign w:val="center"/>
          </w:tcPr>
          <w:p w14:paraId="4E38992F">
            <w:pPr>
              <w:rPr>
                <w:rFonts w:hint="eastAsia" w:ascii="仿宋_GB2312" w:hAnsi="仿宋_GB2312" w:eastAsia="仿宋_GB2312" w:cs="仿宋_GB2312"/>
                <w:sz w:val="28"/>
                <w:szCs w:val="28"/>
              </w:rPr>
            </w:pPr>
          </w:p>
        </w:tc>
        <w:tc>
          <w:tcPr>
            <w:tcW w:w="2859" w:type="dxa"/>
          </w:tcPr>
          <w:p w14:paraId="4E49C934">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资质证书</w:t>
            </w:r>
          </w:p>
        </w:tc>
        <w:tc>
          <w:tcPr>
            <w:tcW w:w="3625" w:type="dxa"/>
          </w:tcPr>
          <w:p w14:paraId="2CA0CD30">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具有合法、有效的</w:t>
            </w:r>
            <w:r>
              <w:rPr>
                <w:rFonts w:hint="eastAsia" w:ascii="仿宋_GB2312" w:hAnsi="仿宋_GB2312" w:eastAsia="仿宋_GB2312" w:cs="仿宋_GB2312"/>
                <w:sz w:val="28"/>
                <w:szCs w:val="28"/>
                <w:lang w:val="en-US" w:eastAsia="zh-CN"/>
              </w:rPr>
              <w:t>建设</w:t>
            </w:r>
            <w:r>
              <w:rPr>
                <w:rFonts w:hint="eastAsia" w:ascii="仿宋_GB2312" w:hAnsi="仿宋_GB2312" w:eastAsia="仿宋_GB2312" w:cs="仿宋_GB2312"/>
                <w:sz w:val="28"/>
                <w:szCs w:val="28"/>
              </w:rPr>
              <w:t>部门颁发的</w:t>
            </w:r>
            <w:r>
              <w:rPr>
                <w:rFonts w:hint="eastAsia" w:ascii="仿宋_GB2312" w:hAnsi="仿宋_GB2312" w:eastAsia="仿宋_GB2312" w:cs="仿宋_GB2312"/>
                <w:sz w:val="28"/>
                <w:szCs w:val="28"/>
                <w:lang w:val="en-US" w:eastAsia="zh-CN"/>
              </w:rPr>
              <w:t>资质证书</w:t>
            </w:r>
          </w:p>
        </w:tc>
      </w:tr>
      <w:tr w14:paraId="2165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vAlign w:val="center"/>
          </w:tcPr>
          <w:p w14:paraId="1F68845D">
            <w:pPr>
              <w:rPr>
                <w:rFonts w:hint="eastAsia" w:ascii="仿宋_GB2312" w:hAnsi="仿宋_GB2312" w:eastAsia="仿宋_GB2312" w:cs="仿宋_GB2312"/>
                <w:sz w:val="28"/>
                <w:szCs w:val="28"/>
              </w:rPr>
            </w:pPr>
          </w:p>
        </w:tc>
        <w:tc>
          <w:tcPr>
            <w:tcW w:w="2350" w:type="dxa"/>
            <w:vMerge w:val="continue"/>
            <w:vAlign w:val="center"/>
          </w:tcPr>
          <w:p w14:paraId="0AD469E6">
            <w:pPr>
              <w:rPr>
                <w:rFonts w:hint="eastAsia" w:ascii="仿宋_GB2312" w:hAnsi="仿宋_GB2312" w:eastAsia="仿宋_GB2312" w:cs="仿宋_GB2312"/>
                <w:sz w:val="28"/>
                <w:szCs w:val="28"/>
              </w:rPr>
            </w:pPr>
          </w:p>
        </w:tc>
        <w:tc>
          <w:tcPr>
            <w:tcW w:w="2859" w:type="dxa"/>
          </w:tcPr>
          <w:p w14:paraId="7FC8145E">
            <w:pPr>
              <w:rPr>
                <w:rFonts w:hint="eastAsia" w:ascii="仿宋_GB2312" w:hAnsi="仿宋_GB2312" w:eastAsia="仿宋_GB2312" w:cs="仿宋_GB2312"/>
                <w:sz w:val="28"/>
                <w:szCs w:val="28"/>
                <w:lang w:val="en-US" w:eastAsia="zh-CN"/>
              </w:rPr>
            </w:pPr>
          </w:p>
          <w:p w14:paraId="438BFBCC">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配备人员</w:t>
            </w:r>
          </w:p>
        </w:tc>
        <w:tc>
          <w:tcPr>
            <w:tcW w:w="3625" w:type="dxa"/>
          </w:tcPr>
          <w:p w14:paraId="51E0EBE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配备专业技术强、能力过硬的</w:t>
            </w:r>
            <w:r>
              <w:rPr>
                <w:rFonts w:hint="eastAsia" w:ascii="仿宋_GB2312" w:hAnsi="仿宋_GB2312" w:eastAsia="仿宋_GB2312" w:cs="仿宋_GB2312"/>
                <w:sz w:val="28"/>
                <w:szCs w:val="28"/>
                <w:lang w:val="en-US" w:eastAsia="zh-CN"/>
              </w:rPr>
              <w:t>工程</w:t>
            </w:r>
            <w:r>
              <w:rPr>
                <w:rFonts w:hint="eastAsia" w:ascii="仿宋_GB2312" w:hAnsi="仿宋_GB2312" w:eastAsia="仿宋_GB2312" w:cs="仿宋_GB2312"/>
                <w:sz w:val="28"/>
                <w:szCs w:val="28"/>
              </w:rPr>
              <w:t>人员，项目团队及人员必须与</w:t>
            </w:r>
            <w:r>
              <w:rPr>
                <w:rFonts w:hint="eastAsia" w:ascii="仿宋_GB2312" w:hAnsi="仿宋_GB2312" w:eastAsia="仿宋_GB2312" w:cs="仿宋_GB2312"/>
                <w:sz w:val="28"/>
                <w:szCs w:val="28"/>
                <w:lang w:val="en-US" w:eastAsia="zh-CN"/>
              </w:rPr>
              <w:t>竞标人</w:t>
            </w:r>
            <w:r>
              <w:rPr>
                <w:rFonts w:hint="eastAsia" w:ascii="仿宋_GB2312" w:hAnsi="仿宋_GB2312" w:eastAsia="仿宋_GB2312" w:cs="仿宋_GB2312"/>
                <w:sz w:val="28"/>
                <w:szCs w:val="28"/>
              </w:rPr>
              <w:t>响应文件中所列示的团队和人员一致，未经委托人书面审核批准不得擅自更换</w:t>
            </w:r>
          </w:p>
        </w:tc>
      </w:tr>
      <w:tr w14:paraId="4EB7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5F2B4C23">
            <w:pPr>
              <w:rPr>
                <w:rFonts w:ascii="仿宋_GB2312" w:hAnsi="仿宋_GB2312" w:eastAsia="仿宋_GB2312" w:cs="仿宋_GB2312"/>
                <w:sz w:val="28"/>
                <w:szCs w:val="28"/>
              </w:rPr>
            </w:pPr>
          </w:p>
        </w:tc>
        <w:tc>
          <w:tcPr>
            <w:tcW w:w="2350" w:type="dxa"/>
            <w:vMerge w:val="continue"/>
          </w:tcPr>
          <w:p w14:paraId="10FBF219">
            <w:pPr>
              <w:rPr>
                <w:rFonts w:ascii="仿宋_GB2312" w:hAnsi="仿宋_GB2312" w:eastAsia="仿宋_GB2312" w:cs="仿宋_GB2312"/>
                <w:sz w:val="28"/>
                <w:szCs w:val="28"/>
              </w:rPr>
            </w:pPr>
          </w:p>
        </w:tc>
        <w:tc>
          <w:tcPr>
            <w:tcW w:w="2859" w:type="dxa"/>
          </w:tcPr>
          <w:p w14:paraId="6BD6F40D">
            <w:pPr>
              <w:rPr>
                <w:rFonts w:ascii="仿宋_GB2312" w:hAnsi="仿宋_GB2312" w:eastAsia="仿宋_GB2312" w:cs="仿宋_GB2312"/>
                <w:sz w:val="28"/>
                <w:szCs w:val="28"/>
              </w:rPr>
            </w:pPr>
            <w:r>
              <w:rPr>
                <w:rFonts w:hint="eastAsia" w:ascii="仿宋_GB2312" w:hAnsi="仿宋_GB2312" w:eastAsia="仿宋_GB2312" w:cs="仿宋_GB2312"/>
                <w:sz w:val="28"/>
                <w:szCs w:val="28"/>
              </w:rPr>
              <w:t>财务状况</w:t>
            </w:r>
          </w:p>
        </w:tc>
        <w:tc>
          <w:tcPr>
            <w:tcW w:w="3625" w:type="dxa"/>
          </w:tcPr>
          <w:p w14:paraId="5E36DCE3">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69E5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B9C8178">
            <w:pPr>
              <w:rPr>
                <w:rFonts w:ascii="仿宋_GB2312" w:hAnsi="仿宋_GB2312" w:eastAsia="仿宋_GB2312" w:cs="仿宋_GB2312"/>
                <w:sz w:val="28"/>
                <w:szCs w:val="28"/>
              </w:rPr>
            </w:pPr>
          </w:p>
        </w:tc>
        <w:tc>
          <w:tcPr>
            <w:tcW w:w="2350" w:type="dxa"/>
            <w:vMerge w:val="continue"/>
          </w:tcPr>
          <w:p w14:paraId="3840EBBB">
            <w:pPr>
              <w:rPr>
                <w:rFonts w:ascii="仿宋_GB2312" w:hAnsi="仿宋_GB2312" w:eastAsia="仿宋_GB2312" w:cs="仿宋_GB2312"/>
                <w:sz w:val="28"/>
                <w:szCs w:val="28"/>
              </w:rPr>
            </w:pPr>
          </w:p>
        </w:tc>
        <w:tc>
          <w:tcPr>
            <w:tcW w:w="2859" w:type="dxa"/>
          </w:tcPr>
          <w:p w14:paraId="11E138D7">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企业信用</w:t>
            </w:r>
          </w:p>
        </w:tc>
        <w:tc>
          <w:tcPr>
            <w:tcW w:w="3625" w:type="dxa"/>
          </w:tcPr>
          <w:p w14:paraId="619751AE">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16D8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45" w:type="dxa"/>
            <w:vMerge w:val="continue"/>
          </w:tcPr>
          <w:p w14:paraId="70BB3D3A">
            <w:pPr>
              <w:rPr>
                <w:rFonts w:ascii="仿宋_GB2312" w:hAnsi="仿宋_GB2312" w:eastAsia="仿宋_GB2312" w:cs="仿宋_GB2312"/>
                <w:sz w:val="28"/>
                <w:szCs w:val="28"/>
              </w:rPr>
            </w:pPr>
          </w:p>
        </w:tc>
        <w:tc>
          <w:tcPr>
            <w:tcW w:w="2350" w:type="dxa"/>
            <w:vMerge w:val="continue"/>
          </w:tcPr>
          <w:p w14:paraId="19BC5540">
            <w:pPr>
              <w:rPr>
                <w:rFonts w:ascii="仿宋_GB2312" w:hAnsi="仿宋_GB2312" w:eastAsia="仿宋_GB2312" w:cs="仿宋_GB2312"/>
                <w:sz w:val="28"/>
                <w:szCs w:val="28"/>
              </w:rPr>
            </w:pPr>
          </w:p>
        </w:tc>
        <w:tc>
          <w:tcPr>
            <w:tcW w:w="2859" w:type="dxa"/>
          </w:tcPr>
          <w:p w14:paraId="6308634D">
            <w:pPr>
              <w:rPr>
                <w:rFonts w:hint="eastAsia" w:ascii="仿宋_GB2312" w:hAnsi="仿宋_GB2312" w:eastAsia="仿宋_GB2312" w:cs="仿宋_GB2312"/>
                <w:sz w:val="28"/>
                <w:szCs w:val="28"/>
                <w:lang w:val="en-US" w:eastAsia="zh-CN"/>
              </w:rPr>
            </w:pPr>
          </w:p>
          <w:p w14:paraId="233FD8F3">
            <w:pPr>
              <w:rPr>
                <w:rFonts w:hint="eastAsia" w:ascii="仿宋_GB2312" w:hAnsi="仿宋_GB2312" w:eastAsia="仿宋_GB2312" w:cs="仿宋_GB2312"/>
                <w:sz w:val="28"/>
                <w:szCs w:val="28"/>
                <w:lang w:val="en-US" w:eastAsia="zh-CN"/>
              </w:rPr>
            </w:pPr>
          </w:p>
          <w:p w14:paraId="7831E035">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书面承诺</w:t>
            </w:r>
          </w:p>
        </w:tc>
        <w:tc>
          <w:tcPr>
            <w:tcW w:w="3625" w:type="dxa"/>
          </w:tcPr>
          <w:p w14:paraId="58E58952">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前三年内在经营活动中没有重大违法记录</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承担审计工作中没有出现重大</w:t>
            </w:r>
            <w:r>
              <w:rPr>
                <w:rFonts w:hint="eastAsia" w:ascii="仿宋_GB2312" w:hAnsi="仿宋_GB2312" w:eastAsia="仿宋_GB2312" w:cs="仿宋_GB2312"/>
                <w:sz w:val="28"/>
                <w:szCs w:val="28"/>
                <w:lang w:val="en-US" w:eastAsia="zh-CN"/>
              </w:rPr>
              <w:t>工程</w:t>
            </w:r>
            <w:r>
              <w:rPr>
                <w:rFonts w:hint="eastAsia" w:ascii="仿宋_GB2312" w:hAnsi="仿宋_GB2312" w:eastAsia="仿宋_GB2312" w:cs="仿宋_GB2312"/>
                <w:sz w:val="28"/>
                <w:szCs w:val="28"/>
              </w:rPr>
              <w:t>质量问题和不良记录</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书面承诺；</w:t>
            </w:r>
          </w:p>
        </w:tc>
      </w:tr>
      <w:tr w14:paraId="58E6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4A300DBC">
            <w:pPr>
              <w:rPr>
                <w:rFonts w:ascii="仿宋_GB2312" w:hAnsi="仿宋_GB2312" w:eastAsia="仿宋_GB2312" w:cs="仿宋_GB2312"/>
                <w:sz w:val="28"/>
                <w:szCs w:val="28"/>
              </w:rPr>
            </w:pPr>
            <w:r>
              <w:rPr>
                <w:rFonts w:hint="eastAsia" w:ascii="仿宋_GB2312" w:hAnsi="仿宋_GB2312" w:eastAsia="仿宋_GB2312" w:cs="仿宋_GB2312"/>
                <w:sz w:val="28"/>
                <w:szCs w:val="28"/>
              </w:rPr>
              <w:t>31.3</w:t>
            </w:r>
          </w:p>
        </w:tc>
        <w:tc>
          <w:tcPr>
            <w:tcW w:w="2350" w:type="dxa"/>
            <w:vMerge w:val="restart"/>
            <w:vAlign w:val="center"/>
          </w:tcPr>
          <w:p w14:paraId="6AE34F6E">
            <w:pPr>
              <w:rPr>
                <w:rFonts w:ascii="仿宋_GB2312" w:hAnsi="仿宋_GB2312" w:eastAsia="仿宋_GB2312" w:cs="仿宋_GB2312"/>
                <w:sz w:val="28"/>
                <w:szCs w:val="28"/>
              </w:rPr>
            </w:pPr>
            <w:r>
              <w:rPr>
                <w:rFonts w:hint="eastAsia" w:ascii="仿宋_GB2312" w:hAnsi="仿宋_GB2312" w:eastAsia="仿宋_GB2312" w:cs="仿宋_GB2312"/>
                <w:sz w:val="28"/>
                <w:szCs w:val="28"/>
              </w:rPr>
              <w:t>响应性评审标准</w:t>
            </w:r>
          </w:p>
        </w:tc>
        <w:tc>
          <w:tcPr>
            <w:tcW w:w="2859" w:type="dxa"/>
          </w:tcPr>
          <w:p w14:paraId="565967CE">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投标报价</w:t>
            </w:r>
          </w:p>
        </w:tc>
        <w:tc>
          <w:tcPr>
            <w:tcW w:w="3625" w:type="dxa"/>
          </w:tcPr>
          <w:p w14:paraId="01992C8E">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3BCD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43189458">
            <w:pPr>
              <w:rPr>
                <w:rFonts w:ascii="仿宋_GB2312" w:hAnsi="仿宋_GB2312" w:eastAsia="仿宋_GB2312" w:cs="仿宋_GB2312"/>
                <w:sz w:val="28"/>
                <w:szCs w:val="28"/>
              </w:rPr>
            </w:pPr>
          </w:p>
        </w:tc>
        <w:tc>
          <w:tcPr>
            <w:tcW w:w="2350" w:type="dxa"/>
            <w:vMerge w:val="continue"/>
          </w:tcPr>
          <w:p w14:paraId="2C091EC9">
            <w:pPr>
              <w:rPr>
                <w:rFonts w:ascii="仿宋_GB2312" w:hAnsi="仿宋_GB2312" w:eastAsia="仿宋_GB2312" w:cs="仿宋_GB2312"/>
                <w:sz w:val="28"/>
                <w:szCs w:val="28"/>
              </w:rPr>
            </w:pPr>
          </w:p>
        </w:tc>
        <w:tc>
          <w:tcPr>
            <w:tcW w:w="2859" w:type="dxa"/>
          </w:tcPr>
          <w:p w14:paraId="50BD6FAF">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投标内容</w:t>
            </w:r>
          </w:p>
        </w:tc>
        <w:tc>
          <w:tcPr>
            <w:tcW w:w="3625" w:type="dxa"/>
          </w:tcPr>
          <w:p w14:paraId="0835A5CE">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符合谈判文件规定</w:t>
            </w:r>
          </w:p>
        </w:tc>
      </w:tr>
      <w:tr w14:paraId="3DB7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371651AB">
            <w:pPr>
              <w:rPr>
                <w:rFonts w:ascii="仿宋_GB2312" w:hAnsi="仿宋_GB2312" w:eastAsia="仿宋_GB2312" w:cs="仿宋_GB2312"/>
                <w:sz w:val="28"/>
                <w:szCs w:val="28"/>
              </w:rPr>
            </w:pPr>
          </w:p>
        </w:tc>
        <w:tc>
          <w:tcPr>
            <w:tcW w:w="2350" w:type="dxa"/>
            <w:vMerge w:val="continue"/>
          </w:tcPr>
          <w:p w14:paraId="423AC4E3">
            <w:pPr>
              <w:rPr>
                <w:rFonts w:ascii="仿宋_GB2312" w:hAnsi="仿宋_GB2312" w:eastAsia="仿宋_GB2312" w:cs="仿宋_GB2312"/>
                <w:sz w:val="28"/>
                <w:szCs w:val="28"/>
              </w:rPr>
            </w:pPr>
          </w:p>
        </w:tc>
        <w:tc>
          <w:tcPr>
            <w:tcW w:w="2859" w:type="dxa"/>
          </w:tcPr>
          <w:p w14:paraId="2E49B735">
            <w:pPr>
              <w:rPr>
                <w:rFonts w:ascii="仿宋_GB2312" w:hAnsi="仿宋_GB2312" w:eastAsia="仿宋_GB2312" w:cs="仿宋_GB2312"/>
                <w:sz w:val="28"/>
                <w:szCs w:val="28"/>
              </w:rPr>
            </w:pPr>
            <w:r>
              <w:rPr>
                <w:rFonts w:hint="eastAsia" w:ascii="仿宋_GB2312" w:hAnsi="仿宋_GB2312" w:eastAsia="仿宋_GB2312" w:cs="仿宋_GB2312"/>
                <w:sz w:val="28"/>
                <w:szCs w:val="28"/>
              </w:rPr>
              <w:t>质量标准</w:t>
            </w:r>
          </w:p>
        </w:tc>
        <w:tc>
          <w:tcPr>
            <w:tcW w:w="3625" w:type="dxa"/>
          </w:tcPr>
          <w:p w14:paraId="4317D0DA">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4C1C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19892206">
            <w:pPr>
              <w:rPr>
                <w:rFonts w:ascii="仿宋_GB2312" w:hAnsi="仿宋_GB2312" w:eastAsia="仿宋_GB2312" w:cs="仿宋_GB2312"/>
                <w:sz w:val="28"/>
                <w:szCs w:val="28"/>
              </w:rPr>
            </w:pPr>
          </w:p>
        </w:tc>
        <w:tc>
          <w:tcPr>
            <w:tcW w:w="2350" w:type="dxa"/>
            <w:vMerge w:val="continue"/>
          </w:tcPr>
          <w:p w14:paraId="24928A6B">
            <w:pPr>
              <w:rPr>
                <w:rFonts w:ascii="仿宋_GB2312" w:hAnsi="仿宋_GB2312" w:eastAsia="仿宋_GB2312" w:cs="仿宋_GB2312"/>
                <w:sz w:val="28"/>
                <w:szCs w:val="28"/>
              </w:rPr>
            </w:pPr>
          </w:p>
        </w:tc>
        <w:tc>
          <w:tcPr>
            <w:tcW w:w="2859" w:type="dxa"/>
          </w:tcPr>
          <w:p w14:paraId="5D68F6FB">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投标有效期</w:t>
            </w:r>
          </w:p>
        </w:tc>
        <w:tc>
          <w:tcPr>
            <w:tcW w:w="3625" w:type="dxa"/>
          </w:tcPr>
          <w:p w14:paraId="4216D43E">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符合谈判文件规定</w:t>
            </w:r>
          </w:p>
        </w:tc>
      </w:tr>
      <w:tr w14:paraId="5C99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929895A">
            <w:pPr>
              <w:rPr>
                <w:rFonts w:ascii="仿宋_GB2312" w:hAnsi="仿宋_GB2312" w:eastAsia="仿宋_GB2312" w:cs="仿宋_GB2312"/>
                <w:sz w:val="28"/>
                <w:szCs w:val="28"/>
              </w:rPr>
            </w:pPr>
          </w:p>
        </w:tc>
        <w:tc>
          <w:tcPr>
            <w:tcW w:w="2350" w:type="dxa"/>
            <w:vMerge w:val="continue"/>
          </w:tcPr>
          <w:p w14:paraId="4594AB5B">
            <w:pPr>
              <w:rPr>
                <w:rFonts w:ascii="仿宋_GB2312" w:hAnsi="仿宋_GB2312" w:eastAsia="仿宋_GB2312" w:cs="仿宋_GB2312"/>
                <w:sz w:val="28"/>
                <w:szCs w:val="28"/>
              </w:rPr>
            </w:pPr>
          </w:p>
        </w:tc>
        <w:tc>
          <w:tcPr>
            <w:tcW w:w="2859" w:type="dxa"/>
          </w:tcPr>
          <w:p w14:paraId="05F8816A">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投标保证金</w:t>
            </w:r>
          </w:p>
        </w:tc>
        <w:tc>
          <w:tcPr>
            <w:tcW w:w="3625" w:type="dxa"/>
          </w:tcPr>
          <w:p w14:paraId="13F12397">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23B1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631A72CE">
            <w:pPr>
              <w:rPr>
                <w:rFonts w:ascii="仿宋_GB2312" w:hAnsi="仿宋_GB2312" w:eastAsia="仿宋_GB2312" w:cs="仿宋_GB2312"/>
                <w:sz w:val="28"/>
                <w:szCs w:val="28"/>
              </w:rPr>
            </w:pPr>
          </w:p>
        </w:tc>
        <w:tc>
          <w:tcPr>
            <w:tcW w:w="2350" w:type="dxa"/>
            <w:vMerge w:val="continue"/>
          </w:tcPr>
          <w:p w14:paraId="704B102D">
            <w:pPr>
              <w:rPr>
                <w:rFonts w:ascii="仿宋_GB2312" w:hAnsi="仿宋_GB2312" w:eastAsia="仿宋_GB2312" w:cs="仿宋_GB2312"/>
                <w:sz w:val="28"/>
                <w:szCs w:val="28"/>
              </w:rPr>
            </w:pPr>
          </w:p>
        </w:tc>
        <w:tc>
          <w:tcPr>
            <w:tcW w:w="2859" w:type="dxa"/>
          </w:tcPr>
          <w:p w14:paraId="0F742EE5">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工期</w:t>
            </w:r>
          </w:p>
        </w:tc>
        <w:tc>
          <w:tcPr>
            <w:tcW w:w="3625" w:type="dxa"/>
          </w:tcPr>
          <w:p w14:paraId="5631D4D8">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符合谈判文件规定</w:t>
            </w:r>
          </w:p>
        </w:tc>
      </w:tr>
    </w:tbl>
    <w:p w14:paraId="4F024945"/>
    <w:tbl>
      <w:tblPr>
        <w:tblStyle w:val="22"/>
        <w:tblW w:w="52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772"/>
        <w:gridCol w:w="6542"/>
      </w:tblGrid>
      <w:tr w14:paraId="452C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shd w:val="clear" w:color="auto" w:fill="7E7E7E" w:themeFill="background1" w:themeFillShade="7F"/>
            <w:vAlign w:val="center"/>
          </w:tcPr>
          <w:p w14:paraId="2CD745C0">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内容</w:t>
            </w:r>
          </w:p>
        </w:tc>
        <w:tc>
          <w:tcPr>
            <w:tcW w:w="3371" w:type="pct"/>
            <w:shd w:val="clear" w:color="auto" w:fill="7E7E7E" w:themeFill="background1" w:themeFillShade="7F"/>
            <w:vAlign w:val="center"/>
          </w:tcPr>
          <w:p w14:paraId="63D33131">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编列内容</w:t>
            </w:r>
          </w:p>
        </w:tc>
      </w:tr>
      <w:tr w14:paraId="1144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28" w:type="pct"/>
            <w:gridSpan w:val="2"/>
          </w:tcPr>
          <w:p w14:paraId="0FF6BC22">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分值构成</w:t>
            </w:r>
          </w:p>
          <w:p w14:paraId="31241247">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(总分100 分)</w:t>
            </w:r>
          </w:p>
        </w:tc>
        <w:tc>
          <w:tcPr>
            <w:tcW w:w="3371" w:type="pct"/>
          </w:tcPr>
          <w:p w14:paraId="0B58BC2D">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技术部分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w:t>
            </w:r>
          </w:p>
          <w:p w14:paraId="6FFEEA7B">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商务部分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分              </w:t>
            </w:r>
          </w:p>
          <w:p w14:paraId="68BA501E">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、磋商报价：</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分</w:t>
            </w:r>
          </w:p>
        </w:tc>
      </w:tr>
      <w:tr w14:paraId="026A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shd w:val="clear" w:color="auto" w:fill="7E7E7E" w:themeFill="background1" w:themeFillShade="7F"/>
            <w:vAlign w:val="center"/>
          </w:tcPr>
          <w:p w14:paraId="7AAF5B31">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评分因素</w:t>
            </w:r>
          </w:p>
        </w:tc>
        <w:tc>
          <w:tcPr>
            <w:tcW w:w="3371" w:type="pct"/>
            <w:shd w:val="clear" w:color="auto" w:fill="7E7E7E" w:themeFill="background1" w:themeFillShade="7F"/>
            <w:vAlign w:val="center"/>
          </w:tcPr>
          <w:p w14:paraId="67722F9E">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评分标准</w:t>
            </w:r>
          </w:p>
        </w:tc>
      </w:tr>
      <w:tr w14:paraId="3314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restart"/>
            <w:vAlign w:val="center"/>
          </w:tcPr>
          <w:p w14:paraId="207B7BC5">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技术部分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w:t>
            </w:r>
          </w:p>
        </w:tc>
        <w:tc>
          <w:tcPr>
            <w:tcW w:w="913" w:type="pct"/>
            <w:vAlign w:val="center"/>
          </w:tcPr>
          <w:p w14:paraId="262DC652">
            <w:pPr>
              <w:autoSpaceDE w:val="0"/>
              <w:autoSpaceDN w:val="0"/>
              <w:adjustRightInd w:val="0"/>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施工方案与</w:t>
            </w:r>
          </w:p>
          <w:p w14:paraId="3F9FBEF8">
            <w:pPr>
              <w:autoSpaceDE w:val="0"/>
              <w:autoSpaceDN w:val="0"/>
              <w:adjustRightInd w:val="0"/>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技术措施</w:t>
            </w:r>
          </w:p>
          <w:p w14:paraId="1E6DFD2C">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0"/>
                <w:sz w:val="28"/>
                <w:szCs w:val="28"/>
              </w:rPr>
              <w:t>（10分）</w:t>
            </w:r>
          </w:p>
        </w:tc>
        <w:tc>
          <w:tcPr>
            <w:tcW w:w="3371" w:type="pct"/>
            <w:vAlign w:val="center"/>
          </w:tcPr>
          <w:p w14:paraId="3C865A16">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val="en-US" w:eastAsia="zh-CN"/>
              </w:rPr>
              <w:t>竞标人</w:t>
            </w:r>
            <w:r>
              <w:rPr>
                <w:rFonts w:hint="eastAsia" w:ascii="仿宋_GB2312" w:hAnsi="仿宋_GB2312" w:eastAsia="仿宋_GB2312" w:cs="仿宋_GB2312"/>
                <w:sz w:val="28"/>
                <w:szCs w:val="28"/>
              </w:rPr>
              <w:t>提供的施工部署，施工顺序及方案；制定的各项管理目标，技术措施是否满足工期、质量、安全生产及文明施工要求等内容进行评审，</w:t>
            </w:r>
          </w:p>
          <w:p w14:paraId="4A813585">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1）内容详细、科学、合理、切实可行，完全满足项目需求的，得10-7分；</w:t>
            </w:r>
          </w:p>
          <w:p w14:paraId="297B9F25">
            <w:pPr>
              <w:spacing w:line="400" w:lineRule="exact"/>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2）内容较为详细、科学、合理，基本满足项目需求的，得6-3分；</w:t>
            </w:r>
          </w:p>
          <w:p w14:paraId="02031611">
            <w:pPr>
              <w:spacing w:line="400" w:lineRule="exact"/>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3）内容简单、可行性较差的得2-1分；</w:t>
            </w:r>
          </w:p>
          <w:p w14:paraId="02EDC671">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8"/>
                <w:szCs w:val="28"/>
              </w:rPr>
              <w:t>4）内容不合理，不能满足项目需求或</w:t>
            </w:r>
            <w:r>
              <w:rPr>
                <w:rFonts w:hint="eastAsia" w:ascii="仿宋_GB2312" w:hAnsi="仿宋_GB2312" w:eastAsia="仿宋_GB2312" w:cs="仿宋_GB2312"/>
                <w:sz w:val="28"/>
                <w:szCs w:val="28"/>
                <w:lang w:val="zh-CN"/>
              </w:rPr>
              <w:t>未提供</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zh-CN"/>
              </w:rPr>
              <w:t>不得分。</w:t>
            </w:r>
            <w:r>
              <w:rPr>
                <w:rFonts w:hint="eastAsia" w:ascii="仿宋_GB2312" w:hAnsi="仿宋_GB2312" w:eastAsia="仿宋_GB2312" w:cs="仿宋_GB2312"/>
                <w:kern w:val="2"/>
                <w:sz w:val="24"/>
                <w:szCs w:val="24"/>
                <w:highlight w:val="none"/>
                <w:lang w:val="en-US" w:eastAsia="zh-CN" w:bidi="ar-SA"/>
              </w:rPr>
              <w:t xml:space="preserve"> </w:t>
            </w:r>
          </w:p>
        </w:tc>
      </w:tr>
      <w:tr w14:paraId="4ABC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continue"/>
            <w:vAlign w:val="center"/>
          </w:tcPr>
          <w:p w14:paraId="1FABEF8B">
            <w:pPr>
              <w:spacing w:line="400" w:lineRule="exact"/>
              <w:jc w:val="center"/>
              <w:rPr>
                <w:rFonts w:hint="eastAsia" w:ascii="仿宋_GB2312" w:hAnsi="仿宋_GB2312" w:eastAsia="仿宋_GB2312" w:cs="仿宋_GB2312"/>
                <w:sz w:val="28"/>
                <w:szCs w:val="28"/>
                <w:lang w:val="en-US" w:eastAsia="zh-CN"/>
              </w:rPr>
            </w:pPr>
          </w:p>
        </w:tc>
        <w:tc>
          <w:tcPr>
            <w:tcW w:w="913" w:type="pct"/>
            <w:vAlign w:val="center"/>
          </w:tcPr>
          <w:p w14:paraId="4711DFDB">
            <w:pPr>
              <w:autoSpaceDE w:val="0"/>
              <w:autoSpaceDN w:val="0"/>
              <w:adjustRightInd w:val="0"/>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施工现场成品保护及环境卫生管理方案与措施</w:t>
            </w:r>
          </w:p>
          <w:p w14:paraId="5492E866">
            <w:pPr>
              <w:keepNext w:val="0"/>
              <w:keepLines w:val="0"/>
              <w:widowControl/>
              <w:suppressLineNumbers w:val="0"/>
              <w:jc w:val="center"/>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0"/>
                <w:sz w:val="28"/>
                <w:szCs w:val="28"/>
              </w:rPr>
              <w:t>（15分）</w:t>
            </w:r>
          </w:p>
        </w:tc>
        <w:tc>
          <w:tcPr>
            <w:tcW w:w="3371" w:type="pct"/>
            <w:vAlign w:val="center"/>
          </w:tcPr>
          <w:p w14:paraId="0AA7C075">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根据酒店实际现场情况，</w:t>
            </w:r>
            <w:r>
              <w:rPr>
                <w:rFonts w:hint="eastAsia" w:ascii="仿宋_GB2312" w:hAnsi="仿宋_GB2312" w:eastAsia="仿宋_GB2312" w:cs="仿宋_GB2312"/>
                <w:sz w:val="28"/>
                <w:szCs w:val="28"/>
                <w:lang w:val="en-US" w:eastAsia="zh-CN"/>
              </w:rPr>
              <w:t>竞标人</w:t>
            </w:r>
            <w:r>
              <w:rPr>
                <w:rFonts w:hint="eastAsia" w:ascii="仿宋_GB2312" w:hAnsi="仿宋_GB2312" w:eastAsia="仿宋_GB2312" w:cs="仿宋_GB2312"/>
                <w:sz w:val="28"/>
                <w:szCs w:val="28"/>
              </w:rPr>
              <w:t>应提供现场成品保护及环境卫生管理方案与措施。</w:t>
            </w:r>
          </w:p>
          <w:p w14:paraId="07DCC5AB">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1）内容详细、科学、合理、切实可行，完全满足项目需求的，得15-11分；</w:t>
            </w:r>
          </w:p>
          <w:p w14:paraId="41D35087">
            <w:pPr>
              <w:spacing w:line="400" w:lineRule="exact"/>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2）内容较为详细、科学、合理，基本满足项目需求的，得10-6分；</w:t>
            </w:r>
          </w:p>
          <w:p w14:paraId="48354D3F">
            <w:pPr>
              <w:spacing w:line="400" w:lineRule="exact"/>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3）内容简单、可行性较差的得5-1分；</w:t>
            </w:r>
          </w:p>
          <w:p w14:paraId="5BEB1EFD">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w:t>4）内容不合理，不能满足项目需求或</w:t>
            </w:r>
            <w:r>
              <w:rPr>
                <w:rFonts w:hint="eastAsia" w:ascii="仿宋_GB2312" w:hAnsi="仿宋_GB2312" w:eastAsia="仿宋_GB2312" w:cs="仿宋_GB2312"/>
                <w:sz w:val="28"/>
                <w:szCs w:val="28"/>
                <w:lang w:val="zh-CN"/>
              </w:rPr>
              <w:t>未提供</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zh-CN"/>
              </w:rPr>
              <w:t>不得分。</w:t>
            </w:r>
          </w:p>
        </w:tc>
      </w:tr>
      <w:tr w14:paraId="4EFB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continue"/>
          </w:tcPr>
          <w:p w14:paraId="3AB35210">
            <w:pPr>
              <w:autoSpaceDE w:val="0"/>
              <w:autoSpaceDN w:val="0"/>
              <w:adjustRightInd w:val="0"/>
              <w:spacing w:line="400" w:lineRule="exact"/>
              <w:jc w:val="left"/>
              <w:rPr>
                <w:rFonts w:ascii="仿宋_GB2312" w:hAnsi="仿宋_GB2312" w:eastAsia="仿宋_GB2312" w:cs="仿宋_GB2312"/>
                <w:sz w:val="28"/>
                <w:szCs w:val="28"/>
              </w:rPr>
            </w:pPr>
          </w:p>
        </w:tc>
        <w:tc>
          <w:tcPr>
            <w:tcW w:w="913" w:type="pct"/>
            <w:vAlign w:val="center"/>
          </w:tcPr>
          <w:p w14:paraId="4B9C1D76">
            <w:pPr>
              <w:autoSpaceDE w:val="0"/>
              <w:autoSpaceDN w:val="0"/>
              <w:adjustRightInd w:val="0"/>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工程进度计划与措施</w:t>
            </w:r>
          </w:p>
          <w:p w14:paraId="49FEAE37">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0"/>
                <w:sz w:val="28"/>
                <w:szCs w:val="28"/>
              </w:rPr>
              <w:t>（5分）</w:t>
            </w:r>
          </w:p>
        </w:tc>
        <w:tc>
          <w:tcPr>
            <w:tcW w:w="3371" w:type="pct"/>
            <w:vAlign w:val="center"/>
          </w:tcPr>
          <w:p w14:paraId="7E224344">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w:t>
            </w:r>
            <w:r>
              <w:rPr>
                <w:rFonts w:hint="eastAsia" w:ascii="仿宋_GB2312" w:hAnsi="仿宋_GB2312" w:eastAsia="仿宋_GB2312" w:cs="仿宋_GB2312"/>
                <w:sz w:val="28"/>
                <w:szCs w:val="28"/>
                <w:lang w:val="en-US" w:eastAsia="zh-CN"/>
              </w:rPr>
              <w:t>竞标人</w:t>
            </w:r>
            <w:r>
              <w:rPr>
                <w:rFonts w:hint="eastAsia" w:ascii="仿宋_GB2312" w:hAnsi="仿宋_GB2312" w:eastAsia="仿宋_GB2312" w:cs="仿宋_GB2312"/>
                <w:sz w:val="28"/>
                <w:szCs w:val="28"/>
              </w:rPr>
              <w:t>提供的施工流程，是否能保证施工连续、均衡、有节奏地进行等内容进行评审，</w:t>
            </w:r>
          </w:p>
          <w:p w14:paraId="6BF34D6F">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1）内容详细、科学、合理、切实可行，完全满足项目需求的，得5-4分；</w:t>
            </w:r>
          </w:p>
          <w:p w14:paraId="7B564C35">
            <w:pPr>
              <w:spacing w:line="400" w:lineRule="exact"/>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2）内容较为详细、科学、合理，基本满足项目需求的，得3-2分；</w:t>
            </w:r>
          </w:p>
          <w:p w14:paraId="79ED10CD">
            <w:pPr>
              <w:spacing w:line="400" w:lineRule="exact"/>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3）内容简单、可行性较差的得1分；</w:t>
            </w:r>
          </w:p>
          <w:p w14:paraId="552C484B">
            <w:pPr>
              <w:keepNext w:val="0"/>
              <w:keepLines w:val="0"/>
              <w:widowControl/>
              <w:numPr>
                <w:ilvl w:val="0"/>
                <w:numId w:val="0"/>
              </w:numPr>
              <w:suppressLineNumbers w:val="0"/>
              <w:ind w:left="0" w:leftChars="0" w:firstLine="0" w:firstLineChars="0"/>
              <w:jc w:val="left"/>
              <w:textAlignment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8"/>
                <w:szCs w:val="28"/>
              </w:rPr>
              <w:t>4）内容不合理，不能满足项目需求或</w:t>
            </w:r>
            <w:r>
              <w:rPr>
                <w:rFonts w:hint="eastAsia" w:ascii="仿宋_GB2312" w:hAnsi="仿宋_GB2312" w:eastAsia="仿宋_GB2312" w:cs="仿宋_GB2312"/>
                <w:sz w:val="28"/>
                <w:szCs w:val="28"/>
                <w:lang w:val="zh-CN"/>
              </w:rPr>
              <w:t>未提供</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zh-CN"/>
              </w:rPr>
              <w:t>不得分。</w:t>
            </w:r>
          </w:p>
        </w:tc>
      </w:tr>
      <w:tr w14:paraId="2F18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restart"/>
          </w:tcPr>
          <w:p w14:paraId="409F8175">
            <w:pPr>
              <w:autoSpaceDE w:val="0"/>
              <w:autoSpaceDN w:val="0"/>
              <w:adjustRightInd w:val="0"/>
              <w:spacing w:line="400" w:lineRule="exact"/>
              <w:jc w:val="left"/>
              <w:rPr>
                <w:rFonts w:hint="eastAsia" w:ascii="仿宋_GB2312" w:hAnsi="仿宋_GB2312" w:eastAsia="仿宋_GB2312" w:cs="仿宋_GB2312"/>
                <w:sz w:val="28"/>
                <w:szCs w:val="28"/>
                <w:lang w:val="en-US" w:eastAsia="zh-CN"/>
              </w:rPr>
            </w:pPr>
          </w:p>
          <w:p w14:paraId="23777C4C">
            <w:pPr>
              <w:autoSpaceDE w:val="0"/>
              <w:autoSpaceDN w:val="0"/>
              <w:adjustRightInd w:val="0"/>
              <w:spacing w:line="400" w:lineRule="exact"/>
              <w:jc w:val="left"/>
              <w:rPr>
                <w:rFonts w:hint="eastAsia" w:ascii="仿宋_GB2312" w:hAnsi="仿宋_GB2312" w:eastAsia="仿宋_GB2312" w:cs="仿宋_GB2312"/>
                <w:sz w:val="28"/>
                <w:szCs w:val="28"/>
                <w:lang w:val="en-US" w:eastAsia="zh-CN"/>
              </w:rPr>
            </w:pPr>
          </w:p>
          <w:p w14:paraId="15A39EB0">
            <w:pPr>
              <w:autoSpaceDE w:val="0"/>
              <w:autoSpaceDN w:val="0"/>
              <w:adjustRightInd w:val="0"/>
              <w:spacing w:line="40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商务部分（20分）</w:t>
            </w:r>
          </w:p>
        </w:tc>
        <w:tc>
          <w:tcPr>
            <w:tcW w:w="913" w:type="pct"/>
            <w:vAlign w:val="center"/>
          </w:tcPr>
          <w:p w14:paraId="6D450A75">
            <w:pPr>
              <w:jc w:val="center"/>
              <w:rPr>
                <w:rStyle w:val="24"/>
                <w:rFonts w:hint="eastAsia" w:ascii="仿宋_GB2312" w:hAnsi="仿宋_GB2312" w:eastAsia="仿宋_GB2312" w:cs="仿宋_GB2312"/>
                <w:b w:val="0"/>
                <w:sz w:val="24"/>
                <w:szCs w:val="24"/>
                <w:lang w:eastAsia="zh-CN"/>
              </w:rPr>
            </w:pPr>
            <w:r>
              <w:rPr>
                <w:rFonts w:hint="eastAsia" w:ascii="仿宋_GB2312" w:hAnsi="仿宋_GB2312" w:eastAsia="仿宋_GB2312" w:cs="仿宋_GB2312"/>
                <w:sz w:val="28"/>
                <w:szCs w:val="28"/>
              </w:rPr>
              <w:t>项目班子的组成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5分</w:t>
            </w:r>
            <w:r>
              <w:rPr>
                <w:rFonts w:hint="eastAsia" w:ascii="仿宋_GB2312" w:hAnsi="仿宋_GB2312" w:eastAsia="仿宋_GB2312" w:cs="仿宋_GB2312"/>
                <w:sz w:val="28"/>
                <w:szCs w:val="28"/>
                <w:lang w:eastAsia="zh-CN"/>
              </w:rPr>
              <w:t>）</w:t>
            </w:r>
          </w:p>
        </w:tc>
        <w:tc>
          <w:tcPr>
            <w:tcW w:w="3371" w:type="pct"/>
            <w:vAlign w:val="center"/>
          </w:tcPr>
          <w:p w14:paraId="20957B28">
            <w:pPr>
              <w:rPr>
                <w:rStyle w:val="24"/>
                <w:rFonts w:hint="eastAsia" w:ascii="仿宋_GB2312" w:hAnsi="仿宋_GB2312" w:eastAsia="仿宋_GB2312" w:cs="仿宋_GB2312"/>
                <w:b w:val="0"/>
                <w:sz w:val="24"/>
                <w:szCs w:val="24"/>
                <w:lang w:eastAsia="zh-CN"/>
              </w:rPr>
            </w:pPr>
            <w:r>
              <w:rPr>
                <w:rFonts w:hint="eastAsia" w:ascii="仿宋_GB2312" w:hAnsi="仿宋_GB2312" w:eastAsia="仿宋_GB2312" w:cs="仿宋_GB2312"/>
                <w:sz w:val="28"/>
                <w:szCs w:val="28"/>
              </w:rPr>
              <w:t>项目负责人1名，技术负责人1名，施工员1名，安全员1名，质量员1名。每提供一人得1分，满分5分。（提供相应的资格证书复印件）</w:t>
            </w:r>
          </w:p>
        </w:tc>
      </w:tr>
      <w:tr w14:paraId="62EF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continue"/>
          </w:tcPr>
          <w:p w14:paraId="233DD742">
            <w:pPr>
              <w:autoSpaceDE w:val="0"/>
              <w:autoSpaceDN w:val="0"/>
              <w:adjustRightInd w:val="0"/>
              <w:spacing w:line="400" w:lineRule="exact"/>
              <w:jc w:val="left"/>
              <w:rPr>
                <w:rFonts w:ascii="仿宋_GB2312" w:hAnsi="仿宋_GB2312" w:eastAsia="仿宋_GB2312" w:cs="仿宋_GB2312"/>
                <w:sz w:val="28"/>
                <w:szCs w:val="28"/>
              </w:rPr>
            </w:pPr>
          </w:p>
        </w:tc>
        <w:tc>
          <w:tcPr>
            <w:tcW w:w="913" w:type="pct"/>
            <w:vAlign w:val="center"/>
          </w:tcPr>
          <w:p w14:paraId="27AC584D">
            <w:pPr>
              <w:spacing w:line="40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企业业绩</w:t>
            </w:r>
          </w:p>
          <w:p w14:paraId="20D59C20">
            <w:pPr>
              <w:jc w:val="center"/>
              <w:rPr>
                <w:rStyle w:val="24"/>
                <w:rFonts w:hint="eastAsia" w:ascii="仿宋_GB2312" w:hAnsi="仿宋_GB2312" w:eastAsia="仿宋_GB2312" w:cs="仿宋_GB2312"/>
                <w:b w:val="0"/>
                <w:sz w:val="24"/>
                <w:szCs w:val="24"/>
                <w:lang w:eastAsia="zh-CN"/>
              </w:rPr>
            </w:pPr>
            <w:r>
              <w:rPr>
                <w:rFonts w:hint="eastAsia" w:ascii="仿宋_GB2312" w:hAnsi="仿宋_GB2312" w:eastAsia="仿宋_GB2312" w:cs="仿宋_GB2312"/>
                <w:sz w:val="28"/>
                <w:szCs w:val="28"/>
              </w:rPr>
              <w:t>（15分）</w:t>
            </w:r>
          </w:p>
        </w:tc>
        <w:tc>
          <w:tcPr>
            <w:tcW w:w="3371" w:type="pct"/>
            <w:vAlign w:val="center"/>
          </w:tcPr>
          <w:p w14:paraId="040F487C">
            <w:pPr>
              <w:rPr>
                <w:rStyle w:val="24"/>
                <w:rFonts w:hint="eastAsia" w:ascii="仿宋_GB2312" w:hAnsi="仿宋_GB2312" w:eastAsia="仿宋_GB2312" w:cs="仿宋_GB2312"/>
                <w:b w:val="0"/>
                <w:sz w:val="24"/>
                <w:szCs w:val="24"/>
              </w:rPr>
            </w:pPr>
            <w:r>
              <w:rPr>
                <w:rFonts w:hint="eastAsia" w:ascii="仿宋_GB2312" w:hAnsi="仿宋_GB2312" w:eastAsia="仿宋_GB2312" w:cs="仿宋_GB2312"/>
                <w:kern w:val="0"/>
                <w:sz w:val="28"/>
                <w:szCs w:val="28"/>
              </w:rPr>
              <w:t>2020年以来完成类似项目业绩，每提供一项得3分，满分15分。（提供中标（成交）通知书或合同协议书复印件）</w:t>
            </w:r>
          </w:p>
        </w:tc>
      </w:tr>
      <w:tr w14:paraId="20A7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restart"/>
            <w:tcBorders>
              <w:right w:val="single" w:color="auto" w:sz="4" w:space="0"/>
            </w:tcBorders>
          </w:tcPr>
          <w:p w14:paraId="65250EF4">
            <w:pPr>
              <w:spacing w:line="400" w:lineRule="exact"/>
              <w:jc w:val="left"/>
              <w:rPr>
                <w:rFonts w:ascii="仿宋_GB2312" w:hAnsi="仿宋_GB2312" w:eastAsia="仿宋_GB2312" w:cs="仿宋_GB2312"/>
                <w:sz w:val="28"/>
                <w:szCs w:val="28"/>
              </w:rPr>
            </w:pPr>
          </w:p>
          <w:p w14:paraId="1E97CC9E">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磋商报价  </w:t>
            </w:r>
          </w:p>
          <w:p w14:paraId="3BECA3A8">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分）</w:t>
            </w:r>
          </w:p>
        </w:tc>
        <w:tc>
          <w:tcPr>
            <w:tcW w:w="913" w:type="pct"/>
            <w:tcBorders>
              <w:left w:val="single" w:color="auto" w:sz="4" w:space="0"/>
            </w:tcBorders>
          </w:tcPr>
          <w:p w14:paraId="37EEB52A">
            <w:pPr>
              <w:spacing w:line="400" w:lineRule="exact"/>
              <w:jc w:val="left"/>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8"/>
                <w:szCs w:val="28"/>
              </w:rPr>
              <w:t>评标基准价计算方法</w:t>
            </w:r>
          </w:p>
        </w:tc>
        <w:tc>
          <w:tcPr>
            <w:tcW w:w="3371" w:type="pct"/>
            <w:tcBorders>
              <w:left w:val="single" w:color="auto" w:sz="4" w:space="0"/>
            </w:tcBorders>
          </w:tcPr>
          <w:p w14:paraId="3D31CA60">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当有效投标报价多于5个（含5个）时，从所有有效报价中的同一报价内容，去掉一个最高和最低报价后，剩余报价的算术平均值为评标基准价。</w:t>
            </w:r>
          </w:p>
          <w:p w14:paraId="539CAF07">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有效投标报价少于5个时，所有有效报价均参加算术平均值的计算。</w:t>
            </w:r>
          </w:p>
          <w:p w14:paraId="3802B98E">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有效报价是指，投标报价低于（或等于）招标人确定的工程招标控制价</w:t>
            </w:r>
          </w:p>
        </w:tc>
      </w:tr>
      <w:tr w14:paraId="5709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4" w:type="pct"/>
            <w:vMerge w:val="continue"/>
            <w:tcBorders>
              <w:right w:val="single" w:color="auto" w:sz="4" w:space="0"/>
            </w:tcBorders>
          </w:tcPr>
          <w:p w14:paraId="750B2794">
            <w:pPr>
              <w:spacing w:line="400" w:lineRule="exact"/>
              <w:jc w:val="left"/>
              <w:rPr>
                <w:rFonts w:ascii="仿宋_GB2312" w:hAnsi="仿宋_GB2312" w:eastAsia="仿宋_GB2312" w:cs="仿宋_GB2312"/>
                <w:sz w:val="28"/>
                <w:szCs w:val="28"/>
              </w:rPr>
            </w:pPr>
          </w:p>
        </w:tc>
        <w:tc>
          <w:tcPr>
            <w:tcW w:w="913" w:type="pct"/>
            <w:tcBorders>
              <w:left w:val="single" w:color="auto" w:sz="4" w:space="0"/>
            </w:tcBorders>
          </w:tcPr>
          <w:p w14:paraId="2EEF9BBF">
            <w:pPr>
              <w:spacing w:line="4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8"/>
                <w:szCs w:val="28"/>
              </w:rPr>
              <w:t>投标报价的偏差率计算公式</w:t>
            </w:r>
          </w:p>
        </w:tc>
        <w:tc>
          <w:tcPr>
            <w:tcW w:w="3371" w:type="pct"/>
            <w:tcBorders>
              <w:left w:val="single" w:color="auto" w:sz="4" w:space="0"/>
            </w:tcBorders>
          </w:tcPr>
          <w:p w14:paraId="720D870B">
            <w:pP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偏差率=100% ×（投标人的同一报价内容 - 评标基准价）/评标基准价。</w:t>
            </w:r>
          </w:p>
          <w:p w14:paraId="660531BE">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8"/>
                <w:szCs w:val="28"/>
              </w:rPr>
              <w:t>有效投标报价与评标基准价相同的得</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0分，每高出评标基准价1%，从</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0分的基础上减</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分，每低于评标基准价1%，从</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0分的基础上减0.5分，减完为止；计算时取小数点后两位。</w:t>
            </w:r>
          </w:p>
        </w:tc>
      </w:tr>
    </w:tbl>
    <w:p w14:paraId="27ABE345">
      <w:pPr>
        <w:pStyle w:val="3"/>
        <w:numPr>
          <w:ilvl w:val="0"/>
          <w:numId w:val="0"/>
        </w:numPr>
        <w:rPr>
          <w:rFonts w:hint="eastAsia"/>
          <w:lang w:val="en-US" w:eastAsia="zh-CN"/>
        </w:rPr>
      </w:pPr>
    </w:p>
    <w:p w14:paraId="5850D3C5">
      <w:pPr>
        <w:pStyle w:val="9"/>
        <w:wordWrap/>
        <w:adjustRightInd w:val="0"/>
        <w:snapToGrid w:val="0"/>
        <w:spacing w:before="157" w:beforeLines="50" w:after="0" w:line="560" w:lineRule="exact"/>
        <w:outlineLvl w:val="2"/>
        <w:rPr>
          <w:rFonts w:hint="eastAsia" w:ascii="楷体_GB2312" w:hAnsi="楷体_GB2312" w:eastAsia="楷体_GB2312" w:cs="楷体_GB2312"/>
          <w:b/>
          <w:bCs/>
          <w:kern w:val="2"/>
          <w:sz w:val="32"/>
          <w:szCs w:val="32"/>
          <w:lang w:val="en-US" w:eastAsia="zh-CN" w:bidi="ar-SA"/>
        </w:rPr>
      </w:pPr>
      <w:bookmarkStart w:id="226" w:name="_Toc19232"/>
      <w:bookmarkStart w:id="227" w:name="_Toc1461_WPSOffice_Level3"/>
      <w:bookmarkStart w:id="228" w:name="_Toc14580"/>
      <w:bookmarkStart w:id="229" w:name="_Toc18975"/>
      <w:bookmarkStart w:id="230" w:name="_Toc27699_WPSOffice_Level3"/>
      <w:r>
        <w:rPr>
          <w:rFonts w:hint="eastAsia" w:ascii="楷体_GB2312" w:hAnsi="楷体_GB2312" w:eastAsia="楷体_GB2312" w:cs="楷体_GB2312"/>
          <w:b/>
          <w:bCs/>
          <w:kern w:val="2"/>
          <w:sz w:val="32"/>
          <w:szCs w:val="32"/>
          <w:lang w:val="en-US" w:eastAsia="zh-CN" w:bidi="ar-SA"/>
        </w:rPr>
        <w:t>32.其他规定</w:t>
      </w:r>
      <w:bookmarkEnd w:id="226"/>
      <w:bookmarkEnd w:id="227"/>
      <w:bookmarkEnd w:id="228"/>
      <w:bookmarkEnd w:id="229"/>
      <w:bookmarkEnd w:id="230"/>
    </w:p>
    <w:p w14:paraId="369FBB68">
      <w:pPr>
        <w:widowControl w:val="0"/>
        <w:wordWrap/>
        <w:adjustRightInd w:val="0"/>
        <w:snapToGrid w:val="0"/>
        <w:spacing w:line="560" w:lineRule="exact"/>
        <w:ind w:firstLine="640" w:firstLineChars="200"/>
        <w:jc w:val="left"/>
        <w:textAlignment w:val="auto"/>
        <w:rPr>
          <w:rFonts w:hint="eastAsia" w:ascii="宋体" w:hAnsi="宋体"/>
          <w:szCs w:val="21"/>
        </w:rPr>
      </w:pPr>
      <w:r>
        <w:rPr>
          <w:rFonts w:hint="eastAsia" w:ascii="仿宋_GB2312" w:hAnsi="仿宋_GB2312" w:eastAsia="仿宋_GB2312" w:cs="仿宋_GB2312"/>
          <w:kern w:val="2"/>
          <w:sz w:val="32"/>
          <w:szCs w:val="32"/>
          <w:lang w:val="en-US" w:eastAsia="zh-CN" w:bidi="ar-SA"/>
        </w:rPr>
        <w:t>谈判文件的其他规定见【谈判须知前附表】</w:t>
      </w:r>
      <w:r>
        <w:rPr>
          <w:rFonts w:hint="eastAsia" w:ascii="仿宋_GB2312" w:hAnsi="仿宋_GB2312" w:eastAsia="仿宋_GB2312" w:cs="仿宋_GB2312"/>
          <w:kern w:val="2"/>
          <w:sz w:val="30"/>
          <w:szCs w:val="30"/>
          <w:lang w:val="en-US" w:eastAsia="zh-CN" w:bidi="ar-SA"/>
        </w:rPr>
        <w:t>。</w:t>
      </w:r>
    </w:p>
    <w:p w14:paraId="68549961">
      <w:pPr>
        <w:pStyle w:val="7"/>
        <w:keepNext/>
        <w:widowControl w:val="0"/>
        <w:numPr>
          <w:ilvl w:val="0"/>
          <w:numId w:val="0"/>
        </w:numPr>
        <w:wordWrap/>
        <w:adjustRightInd w:val="0"/>
        <w:snapToGrid w:val="0"/>
        <w:spacing w:before="157" w:beforeLines="50" w:line="560" w:lineRule="exact"/>
        <w:jc w:val="center"/>
        <w:textAlignment w:val="auto"/>
        <w:outlineLvl w:val="0"/>
        <w:rPr>
          <w:rFonts w:hint="eastAsia" w:ascii="仿宋_GB2312" w:hAnsi="仿宋_GB2312" w:eastAsia="仿宋_GB2312" w:cs="仿宋_GB2312"/>
          <w:kern w:val="2"/>
          <w:sz w:val="32"/>
          <w:szCs w:val="32"/>
          <w:highlight w:val="none"/>
          <w:lang w:val="en-US" w:eastAsia="zh-CN" w:bidi="ar-SA"/>
        </w:rPr>
      </w:pPr>
      <w:bookmarkStart w:id="231" w:name="_Toc20750"/>
      <w:bookmarkStart w:id="232" w:name="_Toc18130_WPSOffice_Level1"/>
      <w:bookmarkStart w:id="233" w:name="_Toc7566"/>
      <w:bookmarkStart w:id="234" w:name="_Toc4912_WPSOffice_Level1"/>
      <w:bookmarkStart w:id="235" w:name="_Toc34637773"/>
      <w:bookmarkStart w:id="236" w:name="_Toc13204"/>
      <w:bookmarkStart w:id="237" w:name="_Toc7780_WPSOffice_Level1"/>
      <w:bookmarkStart w:id="238" w:name="_Toc2404_WPSOffice_Level1"/>
      <w:bookmarkStart w:id="239" w:name="_Toc29561_WPSOffice_Level1"/>
      <w:bookmarkStart w:id="240" w:name="_Toc31765_WPSOffice_Level1"/>
      <w:r>
        <w:rPr>
          <w:rFonts w:hint="eastAsia" w:ascii="华文中宋" w:hAnsi="华文中宋" w:eastAsia="华文中宋" w:cs="华文中宋"/>
          <w:b w:val="0"/>
          <w:bCs w:val="0"/>
          <w:sz w:val="44"/>
          <w:szCs w:val="44"/>
          <w:highlight w:val="none"/>
          <w:lang w:val="en-US" w:eastAsia="zh-CN"/>
        </w:rPr>
        <w:br w:type="page"/>
      </w:r>
      <w:bookmarkEnd w:id="231"/>
      <w:bookmarkEnd w:id="232"/>
      <w:bookmarkEnd w:id="233"/>
      <w:bookmarkEnd w:id="234"/>
      <w:bookmarkEnd w:id="235"/>
      <w:bookmarkEnd w:id="236"/>
      <w:bookmarkEnd w:id="237"/>
      <w:bookmarkEnd w:id="238"/>
      <w:bookmarkEnd w:id="239"/>
      <w:bookmarkEnd w:id="240"/>
      <w:bookmarkStart w:id="241" w:name="_Toc18880"/>
    </w:p>
    <w:bookmarkEnd w:id="241"/>
    <w:p w14:paraId="3B9289A6">
      <w:pPr>
        <w:widowControl/>
        <w:wordWrap/>
        <w:spacing w:before="157" w:beforeLines="50" w:line="560" w:lineRule="exact"/>
        <w:jc w:val="center"/>
        <w:outlineLvl w:val="0"/>
        <w:rPr>
          <w:rFonts w:hint="eastAsia" w:ascii="宋体"/>
          <w:b/>
          <w:color w:val="000000"/>
          <w:sz w:val="44"/>
          <w:szCs w:val="44"/>
        </w:rPr>
      </w:pPr>
      <w:bookmarkStart w:id="242" w:name="_Toc30996"/>
      <w:bookmarkStart w:id="243" w:name="_Toc31138"/>
      <w:bookmarkStart w:id="244" w:name="_Toc6923_WPSOffice_Level1"/>
      <w:bookmarkStart w:id="245" w:name="_Toc15487_WPSOffice_Level1"/>
      <w:bookmarkStart w:id="246" w:name="_Toc5732_WPSOffice_Level1"/>
      <w:bookmarkStart w:id="247" w:name="_Toc18643_WPSOffice_Level1"/>
      <w:bookmarkStart w:id="248" w:name="_Toc955_WPSOffice_Level1"/>
      <w:bookmarkStart w:id="249" w:name="_Toc18208_WPSOffice_Level1"/>
      <w:bookmarkStart w:id="250" w:name="_Toc22544"/>
      <w:r>
        <w:rPr>
          <w:rFonts w:hint="eastAsia" w:ascii="华文中宋" w:hAnsi="华文中宋" w:eastAsia="华文中宋" w:cs="华文中宋"/>
          <w:b w:val="0"/>
          <w:bCs w:val="0"/>
          <w:sz w:val="44"/>
          <w:szCs w:val="44"/>
          <w:lang w:eastAsia="zh-CN"/>
        </w:rPr>
        <w:t>第</w:t>
      </w:r>
      <w:r>
        <w:rPr>
          <w:rFonts w:hint="eastAsia" w:ascii="华文中宋" w:hAnsi="华文中宋" w:eastAsia="华文中宋" w:cs="华文中宋"/>
          <w:b w:val="0"/>
          <w:bCs w:val="0"/>
          <w:sz w:val="44"/>
          <w:szCs w:val="44"/>
          <w:lang w:val="en-US" w:eastAsia="zh-CN"/>
        </w:rPr>
        <w:t>三</w:t>
      </w:r>
      <w:r>
        <w:rPr>
          <w:rFonts w:hint="eastAsia" w:ascii="华文中宋" w:hAnsi="华文中宋" w:eastAsia="华文中宋" w:cs="华文中宋"/>
          <w:b w:val="0"/>
          <w:bCs w:val="0"/>
          <w:sz w:val="44"/>
          <w:szCs w:val="44"/>
          <w:lang w:eastAsia="zh-CN"/>
        </w:rPr>
        <w:t>部分</w:t>
      </w:r>
      <w:r>
        <w:rPr>
          <w:rFonts w:hint="eastAsia" w:ascii="华文中宋" w:hAnsi="华文中宋" w:eastAsia="华文中宋" w:cs="华文中宋"/>
          <w:b w:val="0"/>
          <w:bCs w:val="0"/>
          <w:sz w:val="44"/>
          <w:szCs w:val="44"/>
          <w:lang w:val="en-US" w:eastAsia="zh-CN"/>
        </w:rPr>
        <w:t xml:space="preserve"> </w:t>
      </w:r>
      <w:r>
        <w:rPr>
          <w:rFonts w:hint="eastAsia" w:ascii="华文中宋" w:hAnsi="华文中宋" w:eastAsia="华文中宋" w:cs="华文中宋"/>
          <w:b w:val="0"/>
          <w:bCs w:val="0"/>
          <w:sz w:val="44"/>
          <w:szCs w:val="44"/>
          <w:lang w:eastAsia="zh-CN"/>
        </w:rPr>
        <w:t>谈判响应文件格式</w:t>
      </w:r>
      <w:bookmarkEnd w:id="242"/>
      <w:bookmarkEnd w:id="243"/>
      <w:bookmarkEnd w:id="244"/>
      <w:bookmarkEnd w:id="245"/>
      <w:bookmarkEnd w:id="246"/>
      <w:bookmarkEnd w:id="247"/>
      <w:bookmarkEnd w:id="248"/>
      <w:bookmarkEnd w:id="249"/>
      <w:bookmarkEnd w:id="250"/>
    </w:p>
    <w:p w14:paraId="7B4842C0">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251" w:name="_Toc4945_WPSOffice_Level2"/>
      <w:bookmarkStart w:id="252" w:name="_Toc20166_WPSOffice_Level2"/>
      <w:bookmarkStart w:id="253" w:name="_Toc11968"/>
      <w:bookmarkStart w:id="254" w:name="_Toc12691_WPSOffice_Level2"/>
      <w:bookmarkStart w:id="255" w:name="_Toc15664"/>
      <w:r>
        <w:rPr>
          <w:rFonts w:hint="eastAsia" w:ascii="黑体" w:hAnsi="黑体" w:eastAsia="黑体" w:cs="黑体"/>
          <w:kern w:val="2"/>
          <w:sz w:val="32"/>
          <w:szCs w:val="32"/>
          <w:lang w:val="en-US" w:eastAsia="zh-CN" w:bidi="ar-SA"/>
        </w:rPr>
        <w:t>九、谈判响应文件的组成</w:t>
      </w:r>
      <w:bookmarkEnd w:id="251"/>
      <w:bookmarkEnd w:id="252"/>
      <w:bookmarkEnd w:id="253"/>
      <w:bookmarkEnd w:id="254"/>
      <w:bookmarkEnd w:id="255"/>
    </w:p>
    <w:p w14:paraId="6464070B">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56" w:name="_Toc185_WPSOffice_Level2"/>
      <w:bookmarkStart w:id="257" w:name="_Toc22172"/>
      <w:bookmarkStart w:id="258" w:name="_Toc3621"/>
      <w:bookmarkStart w:id="259" w:name="_Toc31451_WPSOffice_Level3"/>
      <w:r>
        <w:rPr>
          <w:rFonts w:hint="eastAsia" w:ascii="楷体_GB2312" w:hAnsi="楷体_GB2312" w:eastAsia="楷体_GB2312" w:cs="楷体_GB2312"/>
          <w:b/>
          <w:bCs/>
          <w:kern w:val="2"/>
          <w:sz w:val="32"/>
          <w:szCs w:val="32"/>
          <w:lang w:val="zh-CN" w:eastAsia="zh-CN" w:bidi="ar-SA"/>
        </w:rPr>
        <w:t>（一）资格审查部分</w:t>
      </w:r>
      <w:bookmarkEnd w:id="256"/>
      <w:bookmarkEnd w:id="257"/>
      <w:bookmarkEnd w:id="258"/>
      <w:bookmarkEnd w:id="259"/>
    </w:p>
    <w:p w14:paraId="7FA9331E">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0" w:name="_Toc19260_WPSOffice_Level3"/>
      <w:r>
        <w:rPr>
          <w:rFonts w:hint="eastAsia" w:ascii="仿宋_GB2312" w:hAnsi="仿宋_GB2312" w:eastAsia="仿宋_GB2312" w:cs="仿宋_GB2312"/>
          <w:kern w:val="2"/>
          <w:sz w:val="32"/>
          <w:szCs w:val="32"/>
          <w:lang w:val="zh-CN" w:eastAsia="zh-CN" w:bidi="ar-SA"/>
        </w:rPr>
        <w:t>1、响应函（见附件1）</w:t>
      </w:r>
      <w:bookmarkEnd w:id="260"/>
    </w:p>
    <w:p w14:paraId="23616128">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1" w:name="_Toc13122_WPSOffice_Level3"/>
      <w:r>
        <w:rPr>
          <w:rFonts w:hint="eastAsia" w:ascii="仿宋_GB2312" w:hAnsi="仿宋_GB2312" w:eastAsia="仿宋_GB2312" w:cs="仿宋_GB2312"/>
          <w:kern w:val="2"/>
          <w:sz w:val="32"/>
          <w:szCs w:val="32"/>
          <w:lang w:val="zh-CN" w:eastAsia="zh-CN" w:bidi="ar-SA"/>
        </w:rPr>
        <w:t>2、法定代表人证明书（见附件2）</w:t>
      </w:r>
      <w:bookmarkEnd w:id="261"/>
    </w:p>
    <w:p w14:paraId="642461E9">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2" w:name="_Toc5677_WPSOffice_Level3"/>
      <w:r>
        <w:rPr>
          <w:rFonts w:hint="eastAsia" w:ascii="仿宋_GB2312" w:hAnsi="仿宋_GB2312" w:eastAsia="仿宋_GB2312" w:cs="仿宋_GB2312"/>
          <w:kern w:val="2"/>
          <w:sz w:val="32"/>
          <w:szCs w:val="32"/>
          <w:lang w:val="zh-CN" w:eastAsia="zh-CN" w:bidi="ar-SA"/>
        </w:rPr>
        <w:t>3、法定代表人授权书（见附件3）</w:t>
      </w:r>
      <w:bookmarkEnd w:id="262"/>
    </w:p>
    <w:p w14:paraId="0A0EFF97">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3" w:name="_Toc1890_WPSOffice_Level3"/>
      <w:r>
        <w:rPr>
          <w:rFonts w:hint="eastAsia" w:ascii="仿宋_GB2312" w:hAnsi="仿宋_GB2312" w:eastAsia="仿宋_GB2312" w:cs="仿宋_GB2312"/>
          <w:kern w:val="2"/>
          <w:sz w:val="32"/>
          <w:szCs w:val="32"/>
          <w:lang w:val="zh-CN" w:eastAsia="zh-CN" w:bidi="ar-SA"/>
        </w:rPr>
        <w:t>4、竞标人承诺函（见附件4）</w:t>
      </w:r>
      <w:bookmarkEnd w:id="263"/>
    </w:p>
    <w:p w14:paraId="78886127">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4" w:name="_Toc25873_WPSOffice_Level3"/>
      <w:r>
        <w:rPr>
          <w:rFonts w:hint="eastAsia" w:ascii="仿宋_GB2312" w:hAnsi="仿宋_GB2312" w:eastAsia="仿宋_GB2312" w:cs="仿宋_GB2312"/>
          <w:kern w:val="2"/>
          <w:sz w:val="32"/>
          <w:szCs w:val="32"/>
          <w:lang w:val="zh-CN" w:eastAsia="zh-CN" w:bidi="ar-SA"/>
        </w:rPr>
        <w:t>5、竞标人诚信承诺书（见附件5）</w:t>
      </w:r>
      <w:bookmarkEnd w:id="264"/>
    </w:p>
    <w:p w14:paraId="721CDD03">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5" w:name="_Toc31370_WPSOffice_Level3"/>
      <w:r>
        <w:rPr>
          <w:rFonts w:hint="eastAsia" w:ascii="仿宋_GB2312" w:hAnsi="仿宋_GB2312" w:eastAsia="仿宋_GB2312" w:cs="仿宋_GB2312"/>
          <w:kern w:val="2"/>
          <w:sz w:val="32"/>
          <w:szCs w:val="32"/>
          <w:lang w:val="zh-CN" w:eastAsia="zh-CN" w:bidi="ar-SA"/>
        </w:rPr>
        <w:t>6、竞标人资格证明文件（见附件6）</w:t>
      </w:r>
      <w:bookmarkEnd w:id="265"/>
    </w:p>
    <w:p w14:paraId="79E7FB7A">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6" w:name="_Toc10045_WPSOffice_Level3"/>
      <w:r>
        <w:rPr>
          <w:rFonts w:hint="eastAsia" w:ascii="仿宋_GB2312" w:hAnsi="仿宋_GB2312" w:eastAsia="仿宋_GB2312" w:cs="仿宋_GB2312"/>
          <w:kern w:val="2"/>
          <w:sz w:val="32"/>
          <w:szCs w:val="32"/>
          <w:lang w:val="zh-CN" w:eastAsia="zh-CN" w:bidi="ar-SA"/>
        </w:rPr>
        <w:t>7、财务</w:t>
      </w:r>
      <w:r>
        <w:rPr>
          <w:rFonts w:hint="eastAsia" w:ascii="仿宋_GB2312" w:hAnsi="仿宋_GB2312" w:eastAsia="仿宋_GB2312" w:cs="仿宋_GB2312"/>
          <w:kern w:val="2"/>
          <w:sz w:val="32"/>
          <w:szCs w:val="32"/>
          <w:lang w:val="en-US" w:eastAsia="zh-CN" w:bidi="ar-SA"/>
        </w:rPr>
        <w:t>审计报告</w:t>
      </w:r>
      <w:r>
        <w:rPr>
          <w:rFonts w:hint="eastAsia" w:ascii="仿宋_GB2312" w:hAnsi="仿宋_GB2312" w:eastAsia="仿宋_GB2312" w:cs="仿宋_GB2312"/>
          <w:kern w:val="2"/>
          <w:sz w:val="32"/>
          <w:szCs w:val="32"/>
          <w:lang w:val="zh-CN" w:eastAsia="zh-CN" w:bidi="ar-SA"/>
        </w:rPr>
        <w:t>（见附件7）</w:t>
      </w:r>
      <w:bookmarkEnd w:id="266"/>
    </w:p>
    <w:p w14:paraId="31984DEA">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67" w:name="_Toc12223_WPSOffice_Level3"/>
      <w:r>
        <w:rPr>
          <w:rFonts w:hint="eastAsia" w:ascii="仿宋_GB2312" w:hAnsi="仿宋_GB2312" w:eastAsia="仿宋_GB2312" w:cs="仿宋_GB2312"/>
          <w:kern w:val="2"/>
          <w:sz w:val="32"/>
          <w:szCs w:val="32"/>
          <w:lang w:val="zh-CN" w:eastAsia="zh-CN" w:bidi="ar-SA"/>
        </w:rPr>
        <w:t>8、无重大违法记录声明（见附件</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zh-CN" w:eastAsia="zh-CN" w:bidi="ar-SA"/>
        </w:rPr>
        <w:t>）</w:t>
      </w:r>
      <w:bookmarkEnd w:id="267"/>
    </w:p>
    <w:p w14:paraId="10498628">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68" w:name="_Toc18301_WPSOffice_Level3"/>
      <w:bookmarkStart w:id="269" w:name="_Toc21135"/>
      <w:bookmarkStart w:id="270" w:name="_Toc3154_WPSOffice_Level2"/>
      <w:bookmarkStart w:id="271" w:name="_Toc28126"/>
      <w:r>
        <w:rPr>
          <w:rFonts w:hint="eastAsia" w:ascii="楷体_GB2312" w:hAnsi="楷体_GB2312" w:eastAsia="楷体_GB2312" w:cs="楷体_GB2312"/>
          <w:b/>
          <w:bCs/>
          <w:kern w:val="2"/>
          <w:sz w:val="32"/>
          <w:szCs w:val="32"/>
          <w:lang w:val="zh-CN" w:eastAsia="zh-CN" w:bidi="ar-SA"/>
        </w:rPr>
        <w:t>（二）有效性、完整性、响应程度审查部分</w:t>
      </w:r>
      <w:bookmarkEnd w:id="268"/>
      <w:bookmarkEnd w:id="269"/>
      <w:bookmarkEnd w:id="270"/>
      <w:bookmarkEnd w:id="271"/>
    </w:p>
    <w:p w14:paraId="0686B4FA">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72" w:name="_Toc9730_WPSOffice_Level3"/>
      <w:r>
        <w:rPr>
          <w:rFonts w:hint="eastAsia" w:ascii="仿宋_GB2312" w:hAnsi="仿宋_GB2312" w:eastAsia="仿宋_GB2312" w:cs="仿宋_GB2312"/>
          <w:kern w:val="2"/>
          <w:sz w:val="32"/>
          <w:szCs w:val="32"/>
          <w:lang w:val="zh-CN" w:eastAsia="zh-CN" w:bidi="ar-SA"/>
        </w:rPr>
        <w:t>1、谈判首次报价表（见附件</w:t>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zh-CN" w:eastAsia="zh-CN" w:bidi="ar-SA"/>
        </w:rPr>
        <w:t>）</w:t>
      </w:r>
      <w:bookmarkEnd w:id="272"/>
    </w:p>
    <w:p w14:paraId="156E22AF">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bookmarkStart w:id="273" w:name="_Toc30100_WPSOffice_Level3"/>
      <w:r>
        <w:rPr>
          <w:rFonts w:hint="eastAsia" w:ascii="仿宋_GB2312" w:hAnsi="仿宋_GB2312" w:eastAsia="仿宋_GB2312" w:cs="仿宋_GB2312"/>
          <w:kern w:val="2"/>
          <w:sz w:val="32"/>
          <w:szCs w:val="32"/>
          <w:lang w:val="en-US" w:eastAsia="zh-CN" w:bidi="ar-SA"/>
        </w:rPr>
        <w:t>2、谈判最后报价表（见附件10）</w:t>
      </w:r>
      <w:bookmarkEnd w:id="273"/>
    </w:p>
    <w:p w14:paraId="39209F33">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en-US" w:eastAsia="zh-CN" w:bidi="ar-SA"/>
        </w:rPr>
      </w:pPr>
      <w:bookmarkStart w:id="274" w:name="_Toc5088_WPSOffice_Level3"/>
      <w:r>
        <w:rPr>
          <w:rFonts w:hint="eastAsia" w:ascii="仿宋_GB2312" w:hAnsi="仿宋_GB2312" w:eastAsia="仿宋_GB2312" w:cs="仿宋_GB2312"/>
          <w:kern w:val="2"/>
          <w:sz w:val="32"/>
          <w:szCs w:val="32"/>
          <w:lang w:val="en-US" w:eastAsia="zh-CN" w:bidi="ar-SA"/>
        </w:rPr>
        <w:t>3、其他证明材料（格式自定）</w:t>
      </w:r>
      <w:bookmarkEnd w:id="274"/>
    </w:p>
    <w:p w14:paraId="02DA4377">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p>
    <w:p w14:paraId="6C58BAAE">
      <w:pPr>
        <w:pStyle w:val="29"/>
        <w:rPr>
          <w:rFonts w:hint="default" w:ascii="仿宋_GB2312" w:hAnsi="仿宋_GB2312" w:eastAsia="仿宋_GB2312" w:cs="仿宋_GB2312"/>
          <w:kern w:val="2"/>
          <w:sz w:val="32"/>
          <w:szCs w:val="32"/>
          <w:lang w:val="en-US" w:eastAsia="zh-CN" w:bidi="ar-SA"/>
        </w:rPr>
      </w:pPr>
    </w:p>
    <w:p w14:paraId="77409662">
      <w:pPr>
        <w:pStyle w:val="29"/>
        <w:rPr>
          <w:rFonts w:hint="default" w:ascii="仿宋_GB2312" w:hAnsi="仿宋_GB2312" w:eastAsia="仿宋_GB2312" w:cs="仿宋_GB2312"/>
          <w:kern w:val="2"/>
          <w:sz w:val="32"/>
          <w:szCs w:val="32"/>
          <w:lang w:val="en-US" w:eastAsia="zh-CN" w:bidi="ar-SA"/>
        </w:rPr>
      </w:pPr>
    </w:p>
    <w:p w14:paraId="1AD02D8F">
      <w:pPr>
        <w:pStyle w:val="29"/>
        <w:rPr>
          <w:rFonts w:hint="default" w:ascii="仿宋_GB2312" w:hAnsi="仿宋_GB2312" w:eastAsia="仿宋_GB2312" w:cs="仿宋_GB2312"/>
          <w:kern w:val="2"/>
          <w:sz w:val="32"/>
          <w:szCs w:val="32"/>
          <w:lang w:val="en-US" w:eastAsia="zh-CN" w:bidi="ar-SA"/>
        </w:rPr>
      </w:pPr>
    </w:p>
    <w:p w14:paraId="266EF679">
      <w:pPr>
        <w:pStyle w:val="29"/>
        <w:rPr>
          <w:rFonts w:hint="default" w:ascii="仿宋_GB2312" w:hAnsi="仿宋_GB2312" w:eastAsia="仿宋_GB2312" w:cs="仿宋_GB2312"/>
          <w:kern w:val="2"/>
          <w:sz w:val="32"/>
          <w:szCs w:val="32"/>
          <w:lang w:val="en-US" w:eastAsia="zh-CN" w:bidi="ar-SA"/>
        </w:rPr>
      </w:pPr>
    </w:p>
    <w:p w14:paraId="4DD559B6">
      <w:pPr>
        <w:pStyle w:val="29"/>
        <w:rPr>
          <w:rFonts w:hint="default" w:ascii="仿宋_GB2312" w:hAnsi="仿宋_GB2312" w:eastAsia="仿宋_GB2312" w:cs="仿宋_GB2312"/>
          <w:kern w:val="2"/>
          <w:sz w:val="32"/>
          <w:szCs w:val="32"/>
          <w:lang w:val="en-US" w:eastAsia="zh-CN" w:bidi="ar-SA"/>
        </w:rPr>
      </w:pPr>
    </w:p>
    <w:p w14:paraId="212B5450">
      <w:pPr>
        <w:pStyle w:val="29"/>
        <w:rPr>
          <w:rFonts w:hint="default" w:ascii="仿宋_GB2312" w:hAnsi="仿宋_GB2312" w:eastAsia="仿宋_GB2312" w:cs="仿宋_GB2312"/>
          <w:kern w:val="2"/>
          <w:sz w:val="32"/>
          <w:szCs w:val="32"/>
          <w:lang w:val="en-US" w:eastAsia="zh-CN" w:bidi="ar-SA"/>
        </w:rPr>
      </w:pPr>
    </w:p>
    <w:p w14:paraId="43AFCDB1">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275" w:name="_Toc6041"/>
      <w:bookmarkStart w:id="276" w:name="_Toc11918"/>
      <w:bookmarkStart w:id="277" w:name="_Toc1684_WPSOffice_Level2"/>
      <w:bookmarkStart w:id="278" w:name="_Toc14930_WPSOffice_Level2"/>
      <w:bookmarkStart w:id="279" w:name="_Toc5252_WPSOffice_Level2"/>
      <w:r>
        <w:rPr>
          <w:rFonts w:hint="eastAsia" w:ascii="黑体" w:hAnsi="黑体" w:eastAsia="黑体" w:cs="黑体"/>
          <w:kern w:val="2"/>
          <w:sz w:val="32"/>
          <w:szCs w:val="32"/>
          <w:lang w:val="en-US" w:eastAsia="zh-CN" w:bidi="ar-SA"/>
        </w:rPr>
        <w:t>十、谈判响应文件</w:t>
      </w:r>
      <w:bookmarkEnd w:id="275"/>
      <w:bookmarkEnd w:id="276"/>
      <w:bookmarkEnd w:id="277"/>
      <w:bookmarkEnd w:id="278"/>
      <w:bookmarkEnd w:id="279"/>
    </w:p>
    <w:p w14:paraId="49DB80A1">
      <w:pPr>
        <w:wordWrap/>
        <w:spacing w:before="157" w:beforeLines="50" w:line="560" w:lineRule="exact"/>
        <w:ind w:firstLine="1285" w:firstLineChars="400"/>
        <w:rPr>
          <w:rFonts w:hint="eastAsia" w:ascii="仿宋_GB2312" w:hAnsi="仿宋_GB2312" w:eastAsia="仿宋_GB2312" w:cs="仿宋_GB2312"/>
          <w:b/>
          <w:color w:val="000000"/>
          <w:sz w:val="32"/>
          <w:szCs w:val="32"/>
        </w:rPr>
      </w:pPr>
      <w:bookmarkStart w:id="280" w:name="_Toc28269_WPSOffice_Level3"/>
    </w:p>
    <w:bookmarkEnd w:id="280"/>
    <w:p w14:paraId="0339E49F">
      <w:pPr>
        <w:wordWrap/>
        <w:spacing w:before="157" w:beforeLines="50" w:line="560" w:lineRule="exact"/>
        <w:jc w:val="left"/>
        <w:outlineLvl w:val="9"/>
        <w:rPr>
          <w:rFonts w:hint="default" w:ascii="仿宋_GB2312" w:hAnsi="仿宋_GB2312" w:eastAsia="仿宋_GB2312" w:cs="仿宋_GB2312"/>
          <w:b/>
          <w:color w:val="000000"/>
          <w:sz w:val="52"/>
          <w:szCs w:val="52"/>
          <w:u w:val="single"/>
          <w:lang w:val="en-US" w:eastAsia="zh-CN"/>
        </w:rPr>
      </w:pPr>
      <w:r>
        <w:rPr>
          <w:rFonts w:hint="eastAsia" w:ascii="仿宋_GB2312" w:hAnsi="仿宋_GB2312" w:eastAsia="仿宋_GB2312" w:cs="仿宋_GB2312"/>
          <w:b/>
          <w:color w:val="000000"/>
          <w:sz w:val="52"/>
          <w:szCs w:val="52"/>
          <w:u w:val="single"/>
          <w:lang w:val="en-US" w:eastAsia="zh-CN"/>
        </w:rPr>
        <w:t xml:space="preserve">                （项目名称）                    </w:t>
      </w:r>
    </w:p>
    <w:p w14:paraId="6B3C5F01">
      <w:pPr>
        <w:wordWrap/>
        <w:spacing w:before="157" w:beforeLines="50" w:line="560" w:lineRule="exact"/>
        <w:ind w:firstLine="2610" w:firstLineChars="500"/>
        <w:jc w:val="both"/>
        <w:outlineLvl w:val="9"/>
        <w:rPr>
          <w:rFonts w:hint="eastAsia" w:ascii="仿宋_GB2312" w:hAnsi="仿宋_GB2312" w:eastAsia="仿宋_GB2312" w:cs="仿宋_GB2312"/>
          <w:b/>
          <w:color w:val="000000"/>
          <w:sz w:val="52"/>
          <w:szCs w:val="52"/>
        </w:rPr>
      </w:pPr>
      <w:bookmarkStart w:id="281" w:name="_Toc23622_WPSOffice_Level2"/>
      <w:bookmarkStart w:id="282" w:name="_Toc25378_WPSOffice_Level2"/>
      <w:r>
        <w:rPr>
          <w:rFonts w:hint="eastAsia" w:ascii="仿宋_GB2312" w:hAnsi="仿宋_GB2312" w:eastAsia="仿宋_GB2312" w:cs="仿宋_GB2312"/>
          <w:b/>
          <w:color w:val="000000"/>
          <w:sz w:val="52"/>
          <w:szCs w:val="52"/>
          <w:lang w:val="en-US" w:eastAsia="zh-CN"/>
        </w:rPr>
        <w:t>竞争性磋商</w:t>
      </w:r>
      <w:r>
        <w:rPr>
          <w:rFonts w:hint="eastAsia" w:ascii="仿宋_GB2312" w:hAnsi="仿宋_GB2312" w:eastAsia="仿宋_GB2312" w:cs="仿宋_GB2312"/>
          <w:b/>
          <w:color w:val="000000"/>
          <w:sz w:val="52"/>
          <w:szCs w:val="52"/>
        </w:rPr>
        <w:t>响应文件</w:t>
      </w:r>
      <w:bookmarkEnd w:id="281"/>
      <w:bookmarkEnd w:id="282"/>
    </w:p>
    <w:p w14:paraId="614254F6">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000000"/>
          <w:sz w:val="32"/>
          <w:szCs w:val="32"/>
        </w:rPr>
      </w:pPr>
      <w:bookmarkStart w:id="283" w:name="_Toc28825_WPSOffice_Level2"/>
      <w:bookmarkStart w:id="284" w:name="_Toc13231_WPSOffice_Level2"/>
    </w:p>
    <w:bookmarkEnd w:id="283"/>
    <w:bookmarkEnd w:id="284"/>
    <w:p w14:paraId="5F22850D">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14:paraId="6756AF4D">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lang w:eastAsia="zh-CN"/>
        </w:rPr>
      </w:pPr>
      <w:bookmarkStart w:id="285" w:name="_Toc19521_WPSOffice_Level2"/>
      <w:bookmarkStart w:id="286" w:name="_Toc29803_WPSOffice_Level2"/>
      <w:r>
        <w:rPr>
          <w:rFonts w:hint="eastAsia" w:ascii="仿宋_GB2312" w:hAnsi="仿宋_GB2312" w:eastAsia="仿宋_GB2312" w:cs="仿宋_GB2312"/>
          <w:b/>
          <w:bCs/>
          <w:color w:val="000000"/>
          <w:sz w:val="32"/>
          <w:szCs w:val="32"/>
        </w:rPr>
        <w:t>项目编号:</w:t>
      </w:r>
      <w:bookmarkEnd w:id="285"/>
      <w:bookmarkEnd w:id="286"/>
    </w:p>
    <w:p w14:paraId="0984D7CD">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rPr>
      </w:pPr>
      <w:bookmarkStart w:id="287" w:name="_Toc18713_WPSOffice_Level2"/>
      <w:bookmarkStart w:id="288" w:name="_Toc14786_WPSOffice_Level2"/>
      <w:r>
        <w:rPr>
          <w:rFonts w:hint="eastAsia" w:ascii="仿宋_GB2312" w:hAnsi="仿宋_GB2312" w:eastAsia="仿宋_GB2312" w:cs="仿宋_GB2312"/>
          <w:b/>
          <w:bCs/>
          <w:color w:val="000000"/>
          <w:sz w:val="32"/>
          <w:szCs w:val="32"/>
        </w:rPr>
        <w:t>项目名称:</w:t>
      </w:r>
      <w:bookmarkEnd w:id="287"/>
      <w:bookmarkEnd w:id="288"/>
      <w:r>
        <w:rPr>
          <w:rFonts w:hint="eastAsia" w:ascii="仿宋_GB2312" w:hAnsi="仿宋_GB2312" w:eastAsia="仿宋_GB2312" w:cs="仿宋_GB2312"/>
          <w:b/>
          <w:bCs/>
          <w:color w:val="000000"/>
          <w:sz w:val="32"/>
          <w:szCs w:val="32"/>
        </w:rPr>
        <w:t xml:space="preserve"> </w:t>
      </w:r>
    </w:p>
    <w:p w14:paraId="3DCF8898">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lang w:eastAsia="zh-CN"/>
        </w:rPr>
      </w:pPr>
      <w:bookmarkStart w:id="289" w:name="_Toc14087_WPSOffice_Level2"/>
      <w:bookmarkStart w:id="290" w:name="_Toc22044_WPSOffice_Level2"/>
      <w:r>
        <w:rPr>
          <w:rFonts w:hint="eastAsia" w:ascii="仿宋_GB2312" w:hAnsi="仿宋_GB2312" w:eastAsia="仿宋_GB2312" w:cs="仿宋_GB2312"/>
          <w:b/>
          <w:bCs/>
          <w:color w:val="000000"/>
          <w:sz w:val="32"/>
          <w:szCs w:val="32"/>
          <w:lang w:eastAsia="zh-CN"/>
        </w:rPr>
        <w:t>竞标人名称：</w:t>
      </w:r>
      <w:bookmarkEnd w:id="289"/>
      <w:bookmarkEnd w:id="290"/>
    </w:p>
    <w:p w14:paraId="79F4F2A9">
      <w:pPr>
        <w:wordWrap/>
        <w:spacing w:before="157" w:beforeLines="50" w:line="560" w:lineRule="exact"/>
        <w:jc w:val="center"/>
        <w:outlineLvl w:val="9"/>
        <w:rPr>
          <w:rFonts w:hint="eastAsia" w:ascii="仿宋_GB2312" w:hAnsi="仿宋_GB2312" w:eastAsia="仿宋_GB2312" w:cs="仿宋_GB2312"/>
          <w:b/>
          <w:bCs/>
          <w:color w:val="000000"/>
          <w:sz w:val="32"/>
          <w:szCs w:val="32"/>
        </w:rPr>
      </w:pPr>
    </w:p>
    <w:p w14:paraId="702719DD">
      <w:pPr>
        <w:wordWrap/>
        <w:spacing w:before="157" w:beforeLines="50" w:line="560" w:lineRule="exact"/>
        <w:jc w:val="center"/>
        <w:outlineLvl w:val="9"/>
        <w:rPr>
          <w:rFonts w:hint="eastAsia" w:ascii="仿宋_GB2312" w:hAnsi="仿宋_GB2312" w:eastAsia="仿宋_GB2312" w:cs="仿宋_GB2312"/>
          <w:b/>
          <w:color w:val="000000"/>
          <w:sz w:val="32"/>
          <w:szCs w:val="32"/>
        </w:rPr>
      </w:pPr>
      <w:bookmarkStart w:id="291" w:name="_Toc1142_WPSOffice_Level3"/>
      <w:r>
        <w:rPr>
          <w:rFonts w:hint="eastAsia" w:ascii="仿宋_GB2312" w:hAnsi="仿宋_GB2312" w:eastAsia="仿宋_GB2312" w:cs="仿宋_GB2312"/>
          <w:b/>
          <w:color w:val="000000"/>
          <w:sz w:val="32"/>
          <w:szCs w:val="32"/>
        </w:rPr>
        <w:t>年  月  日</w:t>
      </w:r>
      <w:bookmarkEnd w:id="291"/>
    </w:p>
    <w:p w14:paraId="5307B108">
      <w:pPr>
        <w:widowControl/>
        <w:wordWrap/>
        <w:snapToGrid w:val="0"/>
        <w:spacing w:before="157" w:beforeLines="50" w:line="560" w:lineRule="exact"/>
        <w:jc w:val="left"/>
        <w:outlineLvl w:val="9"/>
        <w:rPr>
          <w:rFonts w:hint="eastAsia" w:ascii="宋体"/>
          <w:b/>
          <w:color w:val="000000"/>
          <w:sz w:val="28"/>
          <w:szCs w:val="28"/>
        </w:rPr>
      </w:pPr>
    </w:p>
    <w:p w14:paraId="13BF0527">
      <w:pPr>
        <w:widowControl/>
        <w:wordWrap/>
        <w:snapToGrid w:val="0"/>
        <w:spacing w:before="157" w:beforeLines="50" w:line="560" w:lineRule="exact"/>
        <w:jc w:val="left"/>
        <w:outlineLvl w:val="2"/>
        <w:rPr>
          <w:rFonts w:hint="eastAsia" w:ascii="宋体"/>
          <w:b/>
          <w:color w:val="000000"/>
          <w:sz w:val="28"/>
          <w:szCs w:val="28"/>
        </w:rPr>
      </w:pPr>
      <w:r>
        <w:rPr>
          <w:rFonts w:ascii="宋体"/>
          <w:b/>
          <w:color w:val="000000"/>
          <w:sz w:val="28"/>
          <w:szCs w:val="28"/>
        </w:rPr>
        <w:br w:type="page"/>
      </w:r>
      <w:bookmarkStart w:id="292" w:name="_Toc19203"/>
      <w:bookmarkStart w:id="293" w:name="_Toc27597"/>
      <w:bookmarkStart w:id="294" w:name="_Toc32479_WPSOffice_Level3"/>
      <w:bookmarkStart w:id="295" w:name="_Toc15779"/>
      <w:bookmarkStart w:id="296" w:name="_Toc27578"/>
      <w:r>
        <w:rPr>
          <w:rFonts w:hint="eastAsia" w:ascii="楷体_GB2312" w:hAnsi="楷体_GB2312" w:eastAsia="楷体_GB2312" w:cs="楷体_GB2312"/>
          <w:b/>
          <w:color w:val="000000"/>
          <w:sz w:val="32"/>
          <w:szCs w:val="32"/>
          <w:lang w:eastAsia="zh-CN"/>
        </w:rPr>
        <w:t>附件1：响应函</w:t>
      </w:r>
      <w:bookmarkEnd w:id="292"/>
      <w:bookmarkEnd w:id="293"/>
      <w:bookmarkEnd w:id="294"/>
      <w:bookmarkEnd w:id="295"/>
      <w:bookmarkEnd w:id="296"/>
    </w:p>
    <w:p w14:paraId="3EDE5AF4">
      <w:pPr>
        <w:widowControl w:val="0"/>
        <w:wordWrap/>
        <w:spacing w:before="157" w:beforeLines="50" w:line="560" w:lineRule="exact"/>
        <w:ind w:firstLine="3710" w:firstLineChars="1155"/>
        <w:jc w:val="both"/>
        <w:textAlignment w:val="auto"/>
        <w:outlineLvl w:val="9"/>
        <w:rPr>
          <w:rFonts w:hint="eastAsia" w:ascii="仿宋_GB2312" w:hAnsi="仿宋_GB2312" w:eastAsia="仿宋_GB2312" w:cs="仿宋_GB2312"/>
          <w:b/>
          <w:color w:val="000000"/>
          <w:sz w:val="32"/>
          <w:szCs w:val="32"/>
        </w:rPr>
      </w:pPr>
      <w:bookmarkStart w:id="297" w:name="_Toc24288_WPSOffice_Level2"/>
      <w:bookmarkStart w:id="298" w:name="_Toc22598_WPSOffice_Level2"/>
      <w:r>
        <w:rPr>
          <w:rFonts w:hint="eastAsia" w:ascii="仿宋_GB2312" w:hAnsi="仿宋_GB2312" w:eastAsia="仿宋_GB2312" w:cs="仿宋_GB2312"/>
          <w:b/>
          <w:color w:val="000000"/>
          <w:sz w:val="32"/>
          <w:szCs w:val="32"/>
          <w:lang w:eastAsia="zh-CN"/>
        </w:rPr>
        <w:t>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lang w:eastAsia="zh-CN"/>
        </w:rPr>
        <w:t>应</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函</w:t>
      </w:r>
      <w:bookmarkEnd w:id="297"/>
      <w:bookmarkEnd w:id="298"/>
    </w:p>
    <w:p w14:paraId="33434373">
      <w:pPr>
        <w:widowControl w:val="0"/>
        <w:wordWrap/>
        <w:adjustRightInd w:val="0"/>
        <w:snapToGrid w:val="0"/>
        <w:spacing w:line="560" w:lineRule="exact"/>
        <w:ind w:firstLine="640" w:firstLineChars="200"/>
        <w:textAlignment w:val="auto"/>
        <w:outlineLvl w:val="9"/>
        <w:rPr>
          <w:rFonts w:hint="default" w:ascii="仿宋_GB2312" w:hAnsi="仿宋_GB2312" w:eastAsia="仿宋_GB2312" w:cs="仿宋_GB2312"/>
          <w:b w:val="0"/>
          <w:bCs w:val="0"/>
          <w:color w:val="000000"/>
          <w:sz w:val="32"/>
          <w:szCs w:val="32"/>
          <w:u w:val="single"/>
          <w:lang w:val="en-US" w:eastAsia="zh-CN"/>
        </w:rPr>
      </w:pPr>
      <w:bookmarkStart w:id="299" w:name="_Toc16867_WPSOffice_Level2"/>
      <w:r>
        <w:rPr>
          <w:rFonts w:hint="eastAsia" w:ascii="仿宋_GB2312" w:hAnsi="仿宋_GB2312" w:eastAsia="仿宋_GB2312" w:cs="仿宋_GB2312"/>
          <w:b w:val="0"/>
          <w:bCs w:val="0"/>
          <w:sz w:val="32"/>
          <w:szCs w:val="32"/>
        </w:rPr>
        <w:t>致：</w:t>
      </w:r>
      <w:bookmarkEnd w:id="299"/>
      <w:r>
        <w:rPr>
          <w:rFonts w:hint="eastAsia" w:ascii="仿宋_GB2312" w:hAnsi="仿宋_GB2312" w:eastAsia="仿宋_GB2312" w:cs="仿宋_GB2312"/>
          <w:b w:val="0"/>
          <w:bCs w:val="0"/>
          <w:sz w:val="32"/>
          <w:szCs w:val="32"/>
          <w:u w:val="single"/>
          <w:lang w:val="en-US" w:eastAsia="zh-CN"/>
        </w:rPr>
        <w:t xml:space="preserve">                </w:t>
      </w:r>
    </w:p>
    <w:p w14:paraId="3023DA30">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我们收到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（项目名称及编号）</w:t>
      </w:r>
      <w:r>
        <w:rPr>
          <w:rFonts w:hint="eastAsia" w:ascii="仿宋_GB2312" w:hAnsi="仿宋_GB2312" w:eastAsia="仿宋_GB2312" w:cs="仿宋_GB2312"/>
          <w:sz w:val="32"/>
          <w:szCs w:val="32"/>
        </w:rPr>
        <w:t>谈判文件，经研究，法定代表人（姓名、职务）正式授权（委托代理人姓名、职务）代表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竞标人</w:t>
      </w:r>
      <w:r>
        <w:rPr>
          <w:rFonts w:hint="eastAsia" w:ascii="仿宋_GB2312" w:hAnsi="仿宋_GB2312" w:eastAsia="仿宋_GB2312" w:cs="仿宋_GB2312"/>
          <w:sz w:val="32"/>
          <w:szCs w:val="32"/>
        </w:rPr>
        <w:t xml:space="preserve">名称）提交谈判响应文件。    </w:t>
      </w:r>
    </w:p>
    <w:p w14:paraId="108EF8DC">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14:paraId="7551F907">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1、我方已详阅谈判文件的全部内容，包括澄清、修改条款等有关附件，承诺对其完全理解并接受。</w:t>
      </w:r>
    </w:p>
    <w:p w14:paraId="18FA430F">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若在响应文件发出后，</w:t>
      </w:r>
      <w:r>
        <w:rPr>
          <w:rFonts w:hint="eastAsia" w:ascii="仿宋_GB2312" w:hAnsi="仿宋_GB2312" w:eastAsia="仿宋_GB2312" w:cs="仿宋_GB2312"/>
          <w:sz w:val="32"/>
          <w:szCs w:val="32"/>
        </w:rPr>
        <w:t>我方在</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有效期内撤回或成交后不签约的，</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保证金将被贵方没收。</w:t>
      </w:r>
    </w:p>
    <w:p w14:paraId="1CAB6722">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3、我方同意按照贵方要求提供与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有关的一切数据或资料，理解并接受贵方制定的评标办法。</w:t>
      </w:r>
    </w:p>
    <w:p w14:paraId="453B2B84">
      <w:pPr>
        <w:widowControl w:val="0"/>
        <w:wordWrap/>
        <w:adjustRightInd w:val="0"/>
        <w:snapToGrid w:val="0"/>
        <w:spacing w:line="560" w:lineRule="exact"/>
        <w:ind w:firstLine="640" w:firstLineChars="200"/>
        <w:textAlignment w:val="auto"/>
        <w:outlineLvl w:val="2"/>
        <w:rPr>
          <w:rFonts w:hint="eastAsia" w:ascii="仿宋_GB2312" w:hAnsi="仿宋_GB2312" w:eastAsia="仿宋_GB2312" w:cs="仿宋_GB2312"/>
          <w:sz w:val="32"/>
          <w:szCs w:val="32"/>
        </w:rPr>
      </w:pPr>
      <w:bookmarkStart w:id="300" w:name="_Toc10241"/>
      <w:r>
        <w:rPr>
          <w:rFonts w:hint="eastAsia" w:ascii="仿宋_GB2312" w:hAnsi="仿宋_GB2312" w:eastAsia="仿宋_GB2312" w:cs="仿宋_GB2312"/>
          <w:sz w:val="32"/>
          <w:szCs w:val="32"/>
        </w:rPr>
        <w:t>4、与本</w:t>
      </w:r>
      <w:r>
        <w:rPr>
          <w:rFonts w:hint="eastAsia" w:ascii="仿宋_GB2312" w:hAnsi="仿宋_GB2312" w:eastAsia="仿宋_GB2312" w:cs="仿宋_GB2312"/>
          <w:sz w:val="32"/>
          <w:szCs w:val="32"/>
          <w:lang w:eastAsia="zh-CN"/>
        </w:rPr>
        <w:t>次竞争性谈判</w:t>
      </w:r>
      <w:r>
        <w:rPr>
          <w:rFonts w:hint="eastAsia" w:ascii="仿宋_GB2312" w:hAnsi="仿宋_GB2312" w:eastAsia="仿宋_GB2312" w:cs="仿宋_GB2312"/>
          <w:sz w:val="32"/>
          <w:szCs w:val="32"/>
        </w:rPr>
        <w:t>有关的一切正式往来通讯请寄：</w:t>
      </w:r>
      <w:bookmarkEnd w:id="300"/>
    </w:p>
    <w:p w14:paraId="0BB6E11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地址：_______________   邮编：______________</w:t>
      </w:r>
    </w:p>
    <w:p w14:paraId="7B43406E">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电话：_______________   传真：______________</w:t>
      </w:r>
    </w:p>
    <w:p w14:paraId="2EFADEF6">
      <w:pPr>
        <w:widowControl w:val="0"/>
        <w:wordWrap/>
        <w:adjustRightInd w:val="0"/>
        <w:snapToGrid w:val="0"/>
        <w:spacing w:line="560" w:lineRule="exact"/>
        <w:ind w:firstLine="640" w:firstLineChars="200"/>
        <w:textAlignment w:val="auto"/>
        <w:outlineLvl w:val="9"/>
        <w:rPr>
          <w:rFonts w:hint="eastAsia" w:ascii="仿宋_GB2312" w:hAnsi="宋体" w:eastAsia="仿宋_GB2312"/>
          <w:color w:val="000000"/>
          <w:sz w:val="28"/>
          <w:szCs w:val="28"/>
        </w:rPr>
      </w:pPr>
      <w:r>
        <w:rPr>
          <w:rFonts w:hint="eastAsia" w:ascii="仿宋_GB2312" w:hAnsi="仿宋_GB2312" w:eastAsia="仿宋_GB2312" w:cs="仿宋_GB2312"/>
          <w:sz w:val="32"/>
          <w:szCs w:val="32"/>
        </w:rPr>
        <w:t>法定代表人姓名： ___________ 职务：_________</w:t>
      </w:r>
    </w:p>
    <w:p w14:paraId="4A86EF2E">
      <w:pPr>
        <w:wordWrap/>
        <w:spacing w:before="157" w:beforeLines="50" w:line="560" w:lineRule="exact"/>
        <w:ind w:firstLine="56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宋体" w:eastAsia="仿宋_GB2312"/>
          <w:color w:val="000000"/>
          <w:sz w:val="28"/>
          <w:szCs w:val="28"/>
        </w:rPr>
        <w:t xml:space="preserve">         </w:t>
      </w:r>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bookmarkStart w:id="301" w:name="_Toc1506_WPSOffice_Level3"/>
      <w:r>
        <w:rPr>
          <w:rFonts w:hint="eastAsia" w:ascii="仿宋_GB2312" w:hAnsi="仿宋_GB2312" w:eastAsia="仿宋_GB2312" w:cs="仿宋_GB2312"/>
          <w:b w:val="0"/>
          <w:bCs/>
          <w:color w:val="000000"/>
          <w:sz w:val="32"/>
          <w:szCs w:val="32"/>
          <w:lang w:val="en-US" w:eastAsia="zh-CN"/>
        </w:rPr>
        <w:t xml:space="preserve">               </w:t>
      </w:r>
      <w:bookmarkStart w:id="302" w:name="_Toc28112_WPSOffice_Level3"/>
      <w:r>
        <w:rPr>
          <w:rFonts w:hint="eastAsia" w:ascii="仿宋_GB2312" w:hAnsi="仿宋_GB2312" w:eastAsia="仿宋_GB2312" w:cs="仿宋_GB2312"/>
          <w:b w:val="0"/>
          <w:bCs/>
          <w:color w:val="000000"/>
          <w:sz w:val="32"/>
          <w:szCs w:val="32"/>
          <w:lang w:eastAsia="zh-CN"/>
        </w:rPr>
        <w:t>单</w:t>
      </w:r>
      <w:r>
        <w:rPr>
          <w:rFonts w:hint="eastAsia" w:ascii="仿宋_GB2312" w:hAnsi="仿宋_GB2312" w:eastAsia="仿宋_GB2312" w:cs="仿宋_GB2312"/>
          <w:b w:val="0"/>
          <w:bCs/>
          <w:color w:val="000000"/>
          <w:sz w:val="32"/>
          <w:szCs w:val="32"/>
        </w:rPr>
        <w:t>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01"/>
      <w:bookmarkEnd w:id="302"/>
    </w:p>
    <w:p w14:paraId="3A3DD3BB">
      <w:pPr>
        <w:wordWrap/>
        <w:spacing w:before="157" w:beforeLines="50" w:line="560" w:lineRule="exact"/>
        <w:ind w:firstLine="640" w:firstLineChars="200"/>
        <w:jc w:val="center"/>
        <w:outlineLvl w:val="3"/>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03" w:name="_Toc6385_WPSOffice_Level3"/>
      <w:bookmarkStart w:id="304" w:name="_Toc28651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03"/>
      <w:bookmarkEnd w:id="304"/>
    </w:p>
    <w:p w14:paraId="3967552C">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305" w:name="_Toc130_WPSOffice_Level3"/>
      <w:bookmarkStart w:id="306" w:name="_Toc13325_WPSOffice_Level3"/>
      <w:r>
        <w:rPr>
          <w:rFonts w:hint="eastAsia" w:ascii="仿宋_GB2312" w:hAnsi="仿宋_GB2312" w:eastAsia="仿宋_GB2312" w:cs="仿宋_GB2312"/>
          <w:b w:val="0"/>
          <w:bCs/>
          <w:color w:val="000000"/>
          <w:sz w:val="32"/>
          <w:szCs w:val="32"/>
        </w:rPr>
        <w:t>年   月  日</w:t>
      </w:r>
      <w:bookmarkEnd w:id="305"/>
      <w:bookmarkEnd w:id="306"/>
    </w:p>
    <w:p w14:paraId="70B63CC8">
      <w:pPr>
        <w:widowControl/>
        <w:wordWrap/>
        <w:snapToGrid w:val="0"/>
        <w:spacing w:before="157" w:beforeLines="50" w:line="560" w:lineRule="exact"/>
        <w:outlineLvl w:val="9"/>
        <w:rPr>
          <w:rFonts w:hint="eastAsia" w:ascii="宋体"/>
          <w:b/>
          <w:color w:val="000000"/>
          <w:sz w:val="28"/>
          <w:szCs w:val="28"/>
        </w:rPr>
      </w:pPr>
    </w:p>
    <w:p w14:paraId="592AD031">
      <w:pPr>
        <w:widowControl/>
        <w:wordWrap/>
        <w:snapToGrid w:val="0"/>
        <w:spacing w:before="157" w:beforeLines="50" w:line="560" w:lineRule="exact"/>
        <w:jc w:val="left"/>
        <w:outlineLvl w:val="2"/>
        <w:rPr>
          <w:rFonts w:hint="eastAsia" w:ascii="宋体" w:hAnsi="宋体"/>
          <w:b/>
          <w:bCs/>
          <w:color w:val="000000"/>
          <w:sz w:val="36"/>
          <w:szCs w:val="36"/>
        </w:rPr>
      </w:pPr>
      <w:bookmarkStart w:id="307" w:name="_Toc16611"/>
      <w:bookmarkStart w:id="308" w:name="_Toc12487"/>
      <w:bookmarkStart w:id="309" w:name="_Toc17887_WPSOffice_Level2"/>
      <w:bookmarkStart w:id="310" w:name="_Toc20882_WPSOffice_Level3"/>
      <w:bookmarkStart w:id="311" w:name="_Toc3082"/>
      <w:bookmarkStart w:id="312" w:name="_Toc16050"/>
      <w:bookmarkStart w:id="313" w:name="_Toc26257_WPSOffice_Level2"/>
      <w:r>
        <w:rPr>
          <w:rFonts w:hint="eastAsia" w:ascii="楷体_GB2312" w:hAnsi="楷体_GB2312" w:eastAsia="楷体_GB2312" w:cs="楷体_GB2312"/>
          <w:b/>
          <w:color w:val="000000"/>
          <w:sz w:val="32"/>
          <w:szCs w:val="32"/>
          <w:lang w:eastAsia="zh-CN"/>
        </w:rPr>
        <w:t>附件2：法定代表人证明书</w:t>
      </w:r>
      <w:bookmarkEnd w:id="307"/>
      <w:bookmarkEnd w:id="308"/>
      <w:bookmarkEnd w:id="309"/>
      <w:bookmarkEnd w:id="310"/>
      <w:bookmarkEnd w:id="311"/>
      <w:bookmarkEnd w:id="312"/>
      <w:bookmarkEnd w:id="313"/>
    </w:p>
    <w:p w14:paraId="513777A6">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14" w:name="_Toc28170_WPSOffice_Level2"/>
      <w:bookmarkStart w:id="315" w:name="_Toc14917_WPSOffice_Level1"/>
      <w:bookmarkStart w:id="316" w:name="_Toc32036_WPSOffice_Level1"/>
      <w:bookmarkStart w:id="317" w:name="_Toc6898_WPSOffice_Level2"/>
      <w:r>
        <w:rPr>
          <w:rFonts w:hint="eastAsia" w:ascii="仿宋_GB2312" w:hAnsi="仿宋_GB2312" w:eastAsia="仿宋_GB2312" w:cs="仿宋_GB2312"/>
          <w:b/>
          <w:color w:val="000000"/>
          <w:sz w:val="32"/>
          <w:szCs w:val="32"/>
          <w:lang w:eastAsia="zh-CN"/>
        </w:rPr>
        <w:t>法定代表人证明书</w:t>
      </w:r>
      <w:bookmarkEnd w:id="314"/>
      <w:bookmarkEnd w:id="315"/>
      <w:bookmarkEnd w:id="316"/>
      <w:bookmarkEnd w:id="317"/>
    </w:p>
    <w:p w14:paraId="55E2066A">
      <w:pPr>
        <w:wordWrap/>
        <w:spacing w:before="157" w:beforeLines="50" w:line="560" w:lineRule="exact"/>
        <w:outlineLvl w:val="9"/>
        <w:rPr>
          <w:rFonts w:hint="default" w:ascii="仿宋_GB2312" w:hAnsi="仿宋_GB2312" w:eastAsia="仿宋_GB2312" w:cs="仿宋_GB2312"/>
          <w:b w:val="0"/>
          <w:bCs w:val="0"/>
          <w:color w:val="000000"/>
          <w:kern w:val="0"/>
          <w:sz w:val="32"/>
          <w:szCs w:val="32"/>
          <w:u w:val="single"/>
          <w:lang w:val="en-US" w:eastAsia="zh-CN"/>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val="en-US" w:eastAsia="zh-CN"/>
        </w:rPr>
        <w:t xml:space="preserve">               </w:t>
      </w:r>
    </w:p>
    <w:p w14:paraId="6D68F321">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u w:val="single"/>
        </w:rPr>
        <w:t xml:space="preserve">  （法定代表人姓名）  </w:t>
      </w:r>
      <w:r>
        <w:rPr>
          <w:rFonts w:hint="eastAsia" w:ascii="仿宋_GB2312" w:hAnsi="仿宋_GB2312" w:eastAsia="仿宋_GB2312" w:cs="仿宋_GB2312"/>
          <w:b w:val="0"/>
          <w:bCs w:val="0"/>
          <w:color w:val="000000"/>
          <w:sz w:val="32"/>
          <w:szCs w:val="32"/>
        </w:rPr>
        <w:t>现任我单位</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职务，为法定代表人，特此证明。</w:t>
      </w:r>
    </w:p>
    <w:p w14:paraId="538F4A51">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法定代表人基本情况：</w:t>
      </w:r>
    </w:p>
    <w:p w14:paraId="53874579">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性别：</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年龄：</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民族：</w:t>
      </w:r>
      <w:r>
        <w:rPr>
          <w:rFonts w:hint="eastAsia" w:ascii="仿宋_GB2312" w:hAnsi="仿宋_GB2312" w:eastAsia="仿宋_GB2312" w:cs="仿宋_GB2312"/>
          <w:b w:val="0"/>
          <w:bCs w:val="0"/>
          <w:color w:val="000000"/>
          <w:sz w:val="32"/>
          <w:szCs w:val="32"/>
          <w:u w:val="single"/>
        </w:rPr>
        <w:t xml:space="preserve">     </w:t>
      </w:r>
    </w:p>
    <w:p w14:paraId="6197EA06">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地址：</w:t>
      </w:r>
      <w:r>
        <w:rPr>
          <w:rFonts w:hint="eastAsia" w:ascii="仿宋_GB2312" w:hAnsi="仿宋_GB2312" w:eastAsia="仿宋_GB2312" w:cs="仿宋_GB2312"/>
          <w:b w:val="0"/>
          <w:bCs w:val="0"/>
          <w:color w:val="000000"/>
          <w:sz w:val="32"/>
          <w:szCs w:val="32"/>
          <w:u w:val="single"/>
        </w:rPr>
        <w:t xml:space="preserve">                             </w:t>
      </w:r>
    </w:p>
    <w:p w14:paraId="44F51485">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身份证号码：</w:t>
      </w:r>
      <w:r>
        <w:rPr>
          <w:rFonts w:hint="eastAsia" w:ascii="仿宋_GB2312" w:hAnsi="仿宋_GB2312" w:eastAsia="仿宋_GB2312" w:cs="仿宋_GB2312"/>
          <w:b w:val="0"/>
          <w:bCs w:val="0"/>
          <w:color w:val="000000"/>
          <w:sz w:val="32"/>
          <w:szCs w:val="32"/>
          <w:u w:val="single"/>
        </w:rPr>
        <w:t xml:space="preserve">                       </w:t>
      </w:r>
    </w:p>
    <w:p w14:paraId="16ACFCA7">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附法定代表人第二代身份证双面扫描</w:t>
      </w:r>
      <w:r>
        <w:rPr>
          <w:rFonts w:hint="eastAsia" w:ascii="仿宋_GB2312" w:hAnsi="仿宋_GB2312" w:eastAsia="仿宋_GB2312" w:cs="仿宋_GB2312"/>
          <w:b w:val="0"/>
          <w:bCs w:val="0"/>
          <w:color w:val="000000"/>
          <w:sz w:val="32"/>
          <w:szCs w:val="32"/>
          <w:lang w:eastAsia="zh-CN"/>
        </w:rPr>
        <w:t>或其他身份证明材料</w:t>
      </w:r>
      <w:r>
        <w:rPr>
          <w:rFonts w:hint="eastAsia" w:ascii="仿宋_GB2312" w:hAnsi="仿宋_GB2312" w:eastAsia="仿宋_GB2312" w:cs="仿宋_GB2312"/>
          <w:b w:val="0"/>
          <w:bCs w:val="0"/>
          <w:color w:val="000000"/>
          <w:sz w:val="32"/>
          <w:szCs w:val="32"/>
        </w:rPr>
        <w:t>（复印件</w:t>
      </w:r>
      <w:r>
        <w:rPr>
          <w:rFonts w:hint="eastAsia" w:ascii="仿宋_GB2312" w:hAnsi="仿宋_GB2312" w:eastAsia="仿宋_GB2312" w:cs="仿宋_GB2312"/>
          <w:sz w:val="32"/>
          <w:szCs w:val="32"/>
          <w:lang w:eastAsia="zh-CN"/>
        </w:rPr>
        <w:t>）</w:t>
      </w:r>
    </w:p>
    <w:p w14:paraId="0F3DD509">
      <w:pPr>
        <w:wordWrap/>
        <w:autoSpaceDE w:val="0"/>
        <w:autoSpaceDN w:val="0"/>
        <w:adjustRightInd w:val="0"/>
        <w:spacing w:before="157" w:beforeLines="50" w:line="560" w:lineRule="exact"/>
        <w:ind w:firstLine="480" w:firstLineChars="200"/>
        <w:jc w:val="left"/>
        <w:outlineLvl w:val="9"/>
        <w:rPr>
          <w:rFonts w:hint="eastAsia" w:ascii="宋体" w:hAnsi="宋体" w:cs="宋体"/>
          <w:color w:val="000000"/>
          <w:kern w:val="0"/>
          <w:sz w:val="24"/>
        </w:rPr>
      </w:pPr>
    </w:p>
    <w:p w14:paraId="3994EE97">
      <w:pPr>
        <w:wordWrap/>
        <w:autoSpaceDE w:val="0"/>
        <w:autoSpaceDN w:val="0"/>
        <w:adjustRightInd w:val="0"/>
        <w:spacing w:before="157" w:beforeLines="50" w:line="560" w:lineRule="exact"/>
        <w:jc w:val="righ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单位</w:t>
      </w:r>
      <w:r>
        <w:rPr>
          <w:rFonts w:hint="eastAsia" w:ascii="仿宋_GB2312" w:hAnsi="仿宋_GB2312" w:eastAsia="仿宋_GB2312" w:cs="仿宋_GB2312"/>
          <w:b w:val="0"/>
          <w:bCs w:val="0"/>
          <w:color w:val="000000"/>
          <w:sz w:val="32"/>
          <w:szCs w:val="32"/>
          <w:lang w:eastAsia="zh-CN"/>
        </w:rPr>
        <w:t>名称</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（公章）</w:t>
      </w:r>
    </w:p>
    <w:p w14:paraId="72407CEB">
      <w:pPr>
        <w:widowControl w:val="0"/>
        <w:wordWrap/>
        <w:adjustRightInd/>
        <w:snapToGrid/>
        <w:spacing w:before="157" w:beforeLines="50" w:line="560" w:lineRule="exact"/>
        <w:ind w:firstLine="48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p>
    <w:p w14:paraId="5B6BC102">
      <w:pPr>
        <w:wordWrap/>
        <w:autoSpaceDE w:val="0"/>
        <w:autoSpaceDN w:val="0"/>
        <w:adjustRightInd w:val="0"/>
        <w:spacing w:before="157" w:beforeLines="50" w:line="560" w:lineRule="exact"/>
        <w:jc w:val="center"/>
        <w:outlineLvl w:val="9"/>
        <w:rPr>
          <w:rFonts w:hint="eastAsia" w:ascii="仿宋_GB2312" w:hAnsi="仿宋_GB2312" w:eastAsia="仿宋_GB2312" w:cs="仿宋_GB2312"/>
          <w:b w:val="0"/>
          <w:bCs w:val="0"/>
          <w:color w:val="000000"/>
          <w:sz w:val="32"/>
          <w:szCs w:val="32"/>
        </w:rPr>
      </w:pPr>
      <w:bookmarkStart w:id="318" w:name="_Toc10597_WPSOffice_Level3"/>
      <w:r>
        <w:rPr>
          <w:rFonts w:hint="eastAsia" w:ascii="仿宋_GB2312" w:hAnsi="仿宋_GB2312" w:eastAsia="仿宋_GB2312" w:cs="仿宋_GB2312"/>
          <w:b w:val="0"/>
          <w:bCs w:val="0"/>
          <w:color w:val="000000"/>
          <w:sz w:val="32"/>
          <w:szCs w:val="32"/>
          <w:lang w:val="en-US" w:eastAsia="zh-CN"/>
        </w:rPr>
        <w:t xml:space="preserve">                                       </w:t>
      </w:r>
      <w:bookmarkStart w:id="319" w:name="_Toc16117_WPSOffice_Level3"/>
      <w:r>
        <w:rPr>
          <w:rFonts w:hint="eastAsia" w:ascii="仿宋_GB2312" w:hAnsi="仿宋_GB2312" w:eastAsia="仿宋_GB2312" w:cs="仿宋_GB2312"/>
          <w:b w:val="0"/>
          <w:bCs w:val="0"/>
          <w:color w:val="000000"/>
          <w:sz w:val="32"/>
          <w:szCs w:val="32"/>
        </w:rPr>
        <w:t>年   月   日</w:t>
      </w:r>
      <w:bookmarkEnd w:id="318"/>
      <w:bookmarkEnd w:id="319"/>
    </w:p>
    <w:p w14:paraId="382997B8">
      <w:pPr>
        <w:wordWrap/>
        <w:spacing w:before="157" w:beforeLines="50" w:line="560" w:lineRule="exact"/>
        <w:ind w:right="480"/>
        <w:jc w:val="right"/>
        <w:outlineLvl w:val="9"/>
        <w:rPr>
          <w:rFonts w:hint="eastAsia" w:ascii="宋体"/>
          <w:b/>
          <w:color w:val="000000"/>
          <w:sz w:val="36"/>
          <w:szCs w:val="36"/>
        </w:rPr>
      </w:pPr>
    </w:p>
    <w:p w14:paraId="0080CE0E">
      <w:pPr>
        <w:wordWrap/>
        <w:spacing w:before="157" w:beforeLines="50" w:line="560" w:lineRule="exact"/>
        <w:jc w:val="right"/>
        <w:rPr>
          <w:rFonts w:hint="eastAsia" w:ascii="宋体"/>
          <w:b/>
          <w:color w:val="000000"/>
          <w:sz w:val="36"/>
          <w:szCs w:val="36"/>
        </w:rPr>
      </w:pPr>
    </w:p>
    <w:p w14:paraId="4AA7679E">
      <w:pPr>
        <w:wordWrap/>
        <w:spacing w:before="157" w:beforeLines="50" w:line="560" w:lineRule="exact"/>
        <w:rPr>
          <w:rFonts w:hint="eastAsia" w:ascii="宋体"/>
          <w:b/>
          <w:color w:val="000000"/>
          <w:sz w:val="36"/>
          <w:szCs w:val="36"/>
        </w:rPr>
      </w:pPr>
    </w:p>
    <w:p w14:paraId="6B69AF63">
      <w:pPr>
        <w:widowControl/>
        <w:wordWrap/>
        <w:snapToGrid w:val="0"/>
        <w:spacing w:before="157" w:beforeLines="50" w:line="560" w:lineRule="exact"/>
        <w:jc w:val="left"/>
        <w:outlineLvl w:val="2"/>
        <w:rPr>
          <w:rFonts w:hint="eastAsia" w:ascii="宋体" w:hAnsi="宋体"/>
          <w:b/>
          <w:color w:val="000000"/>
          <w:sz w:val="36"/>
          <w:szCs w:val="36"/>
        </w:rPr>
      </w:pPr>
      <w:bookmarkStart w:id="320" w:name="_Toc27782"/>
      <w:bookmarkStart w:id="321" w:name="_Toc18183"/>
      <w:bookmarkStart w:id="322" w:name="_Toc26111"/>
      <w:bookmarkStart w:id="323" w:name="_Toc21545_WPSOffice_Level3"/>
      <w:bookmarkStart w:id="324" w:name="_Toc31901"/>
      <w:bookmarkStart w:id="325" w:name="_Toc23035_WPSOffice_Level2"/>
      <w:r>
        <w:rPr>
          <w:rFonts w:hint="eastAsia" w:ascii="楷体_GB2312" w:hAnsi="楷体_GB2312" w:eastAsia="楷体_GB2312" w:cs="楷体_GB2312"/>
          <w:b/>
          <w:color w:val="000000"/>
          <w:sz w:val="32"/>
          <w:szCs w:val="32"/>
          <w:lang w:eastAsia="zh-CN"/>
        </w:rPr>
        <w:t>附件3：法定代表人授权书</w:t>
      </w:r>
      <w:bookmarkEnd w:id="320"/>
      <w:bookmarkEnd w:id="321"/>
      <w:bookmarkEnd w:id="322"/>
      <w:bookmarkEnd w:id="323"/>
      <w:bookmarkEnd w:id="324"/>
      <w:bookmarkEnd w:id="325"/>
    </w:p>
    <w:p w14:paraId="5EF529E8">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26" w:name="_Toc26434_WPSOffice_Level2"/>
      <w:bookmarkStart w:id="327" w:name="_Toc1148_WPSOffice_Level3"/>
      <w:bookmarkStart w:id="328" w:name="_Toc5048_WPSOffice_Level2"/>
      <w:r>
        <w:rPr>
          <w:rFonts w:hint="eastAsia" w:ascii="仿宋_GB2312" w:hAnsi="仿宋_GB2312" w:eastAsia="仿宋_GB2312" w:cs="仿宋_GB2312"/>
          <w:b/>
          <w:color w:val="000000"/>
          <w:sz w:val="32"/>
          <w:szCs w:val="32"/>
          <w:lang w:eastAsia="zh-CN"/>
        </w:rPr>
        <w:t>法定代表人授权书</w:t>
      </w:r>
      <w:bookmarkEnd w:id="326"/>
      <w:bookmarkEnd w:id="327"/>
      <w:bookmarkEnd w:id="328"/>
    </w:p>
    <w:p w14:paraId="57F64F51">
      <w:pPr>
        <w:widowControl w:val="0"/>
        <w:wordWrap/>
        <w:adjustRightInd/>
        <w:snapToGrid/>
        <w:spacing w:line="560" w:lineRule="exact"/>
        <w:ind w:firstLine="263" w:firstLineChars="82"/>
        <w:textAlignment w:val="auto"/>
        <w:outlineLvl w:val="9"/>
        <w:rPr>
          <w:rFonts w:hint="default" w:ascii="仿宋_GB2312" w:hAnsi="仿宋_GB2312" w:eastAsia="仿宋_GB2312" w:cs="仿宋_GB2312"/>
          <w:color w:val="000000"/>
          <w:sz w:val="32"/>
          <w:szCs w:val="32"/>
          <w:u w:val="single"/>
          <w:lang w:val="en-US" w:eastAsia="zh-CN"/>
        </w:rPr>
      </w:pPr>
      <w:bookmarkStart w:id="329" w:name="_Toc6307_WPSOffice_Level2"/>
      <w:bookmarkStart w:id="330" w:name="_Toc16084_WPSOffice_Level2"/>
      <w:bookmarkStart w:id="331" w:name="_Toc25306_WPSOffice_Level2"/>
      <w:r>
        <w:rPr>
          <w:rFonts w:hint="eastAsia" w:ascii="仿宋_GB2312" w:hAnsi="仿宋_GB2312" w:eastAsia="仿宋_GB2312" w:cs="仿宋_GB2312"/>
          <w:b/>
          <w:bCs/>
          <w:color w:val="000000"/>
          <w:sz w:val="32"/>
          <w:szCs w:val="32"/>
        </w:rPr>
        <w:t>致：</w:t>
      </w:r>
      <w:bookmarkEnd w:id="329"/>
      <w:bookmarkEnd w:id="330"/>
      <w:bookmarkEnd w:id="331"/>
      <w:r>
        <w:rPr>
          <w:rFonts w:hint="eastAsia" w:ascii="仿宋_GB2312" w:hAnsi="仿宋_GB2312" w:eastAsia="仿宋_GB2312" w:cs="仿宋_GB2312"/>
          <w:b/>
          <w:bCs/>
          <w:color w:val="000000"/>
          <w:sz w:val="32"/>
          <w:szCs w:val="32"/>
          <w:u w:val="single"/>
          <w:lang w:val="en-US" w:eastAsia="zh-CN"/>
        </w:rPr>
        <w:t xml:space="preserve">             </w:t>
      </w:r>
    </w:p>
    <w:p w14:paraId="3CABA96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eastAsia="zh-CN"/>
        </w:rPr>
        <w:t>竞标人</w:t>
      </w:r>
      <w:r>
        <w:rPr>
          <w:rFonts w:hint="eastAsia" w:ascii="仿宋_GB2312" w:hAnsi="仿宋_GB2312" w:eastAsia="仿宋_GB2312" w:cs="仿宋_GB2312"/>
          <w:color w:val="000000"/>
          <w:sz w:val="32"/>
          <w:szCs w:val="32"/>
          <w:u w:val="single"/>
        </w:rPr>
        <w:t xml:space="preserve">名称）  </w:t>
      </w:r>
      <w:r>
        <w:rPr>
          <w:rFonts w:hint="eastAsia" w:ascii="仿宋_GB2312" w:hAnsi="仿宋_GB2312" w:eastAsia="仿宋_GB2312" w:cs="仿宋_GB2312"/>
          <w:color w:val="000000"/>
          <w:sz w:val="32"/>
          <w:szCs w:val="32"/>
        </w:rPr>
        <w:t>系中华人民共和国合法企业，法定地址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531005CC">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（法定代表人姓名）   </w:t>
      </w:r>
      <w:r>
        <w:rPr>
          <w:rFonts w:hint="eastAsia" w:ascii="仿宋_GB2312" w:hAnsi="仿宋_GB2312" w:eastAsia="仿宋_GB2312" w:cs="仿宋_GB2312"/>
          <w:color w:val="000000"/>
          <w:sz w:val="32"/>
          <w:szCs w:val="32"/>
        </w:rPr>
        <w:t>特授权</w:t>
      </w:r>
      <w:r>
        <w:rPr>
          <w:rFonts w:hint="eastAsia" w:ascii="仿宋_GB2312" w:hAnsi="仿宋_GB2312" w:eastAsia="仿宋_GB2312" w:cs="仿宋_GB2312"/>
          <w:color w:val="000000"/>
          <w:sz w:val="32"/>
          <w:szCs w:val="32"/>
          <w:u w:val="single"/>
        </w:rPr>
        <w:t xml:space="preserve"> （委托代理人姓名）    </w:t>
      </w:r>
      <w:r>
        <w:rPr>
          <w:rFonts w:hint="eastAsia" w:ascii="仿宋_GB2312" w:hAnsi="仿宋_GB2312" w:eastAsia="仿宋_GB2312" w:cs="仿宋_GB2312"/>
          <w:color w:val="000000"/>
          <w:sz w:val="32"/>
          <w:szCs w:val="32"/>
        </w:rPr>
        <w:t>代表我单位全权办理针对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项目的</w:t>
      </w:r>
      <w:r>
        <w:rPr>
          <w:rFonts w:hint="eastAsia" w:ascii="仿宋_GB2312" w:hAnsi="仿宋_GB2312" w:eastAsia="仿宋_GB2312" w:cs="仿宋_GB2312"/>
          <w:color w:val="000000"/>
          <w:sz w:val="32"/>
          <w:szCs w:val="32"/>
          <w:lang w:eastAsia="zh-CN"/>
        </w:rPr>
        <w:t>谈判、答疑</w:t>
      </w:r>
      <w:r>
        <w:rPr>
          <w:rFonts w:hint="eastAsia" w:ascii="仿宋_GB2312" w:hAnsi="仿宋_GB2312" w:eastAsia="仿宋_GB2312" w:cs="仿宋_GB2312"/>
          <w:color w:val="000000"/>
          <w:sz w:val="32"/>
          <w:szCs w:val="32"/>
        </w:rPr>
        <w:t>等具体工作，并签署全部有关的文件、资料。</w:t>
      </w:r>
    </w:p>
    <w:p w14:paraId="4613E33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我单位对被授权人的签名负全部责任。</w:t>
      </w:r>
    </w:p>
    <w:p w14:paraId="19B73006">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在撤销授权的书面通知以前，本授权书一直有效，被授权人签署的所有文件（在授权书有效期内签署的）不因授权的撤销而失效。</w:t>
      </w:r>
    </w:p>
    <w:p w14:paraId="718D401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授权期限：自</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日起至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日止。</w:t>
      </w:r>
    </w:p>
    <w:p w14:paraId="27ACCD53">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被授权人联系电话：</w:t>
      </w:r>
      <w:r>
        <w:rPr>
          <w:rFonts w:hint="eastAsia" w:ascii="仿宋_GB2312" w:hAnsi="仿宋_GB2312" w:eastAsia="仿宋_GB2312" w:cs="仿宋_GB2312"/>
          <w:color w:val="000000"/>
          <w:sz w:val="32"/>
          <w:szCs w:val="32"/>
          <w:u w:val="single"/>
        </w:rPr>
        <w:t xml:space="preserve">          </w:t>
      </w:r>
    </w:p>
    <w:p w14:paraId="632EEFA1">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被授权人（委托代理人）签字或盖章：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5D89E543">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授权人（法定代表人）签字或盖章：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14:paraId="01B436F2">
      <w:pPr>
        <w:widowControl w:val="0"/>
        <w:wordWrap/>
        <w:adjustRightInd/>
        <w:snapToGrid/>
        <w:spacing w:line="560" w:lineRule="exact"/>
        <w:ind w:firstLine="640" w:firstLineChars="200"/>
        <w:textAlignment w:val="auto"/>
        <w:outlineLvl w:val="9"/>
        <w:rPr>
          <w:rFonts w:hint="eastAsia" w:ascii="宋体" w:hAnsi="宋体"/>
          <w:color w:val="000000"/>
          <w:sz w:val="36"/>
          <w:szCs w:val="36"/>
        </w:rPr>
      </w:pPr>
      <w:r>
        <w:rPr>
          <w:rFonts w:hint="eastAsia" w:ascii="仿宋_GB2312" w:hAnsi="仿宋_GB2312" w:eastAsia="仿宋_GB2312" w:cs="仿宋_GB2312"/>
          <w:color w:val="000000"/>
          <w:kern w:val="0"/>
          <w:sz w:val="32"/>
          <w:szCs w:val="32"/>
        </w:rPr>
        <w:t>附被授权人第二代身份证双面扫描（或复印）件</w:t>
      </w:r>
    </w:p>
    <w:p w14:paraId="0680B3EC">
      <w:pPr>
        <w:wordWrap/>
        <w:spacing w:before="157" w:beforeLines="50" w:line="560" w:lineRule="exact"/>
        <w:ind w:firstLine="4800" w:firstLineChars="1500"/>
        <w:jc w:val="right"/>
        <w:outlineLvl w:val="9"/>
        <w:rPr>
          <w:rFonts w:hint="eastAsia" w:ascii="仿宋_GB2312" w:hAnsi="仿宋_GB2312" w:eastAsia="仿宋_GB2312" w:cs="仿宋_GB2312"/>
          <w:b w:val="0"/>
          <w:bCs/>
          <w:color w:val="000000"/>
          <w:sz w:val="32"/>
          <w:szCs w:val="32"/>
        </w:rPr>
      </w:pPr>
      <w:bookmarkStart w:id="332" w:name="_Toc1383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kern w:val="0"/>
          <w:sz w:val="32"/>
          <w:szCs w:val="32"/>
          <w:u w:val="single"/>
        </w:rPr>
        <w:t xml:space="preserve">       </w:t>
      </w:r>
      <w:r>
        <w:rPr>
          <w:rFonts w:hint="eastAsia" w:ascii="仿宋_GB2312" w:hAnsi="仿宋_GB2312" w:eastAsia="仿宋_GB2312" w:cs="仿宋_GB2312"/>
          <w:b w:val="0"/>
          <w:bCs/>
          <w:color w:val="000000"/>
          <w:sz w:val="32"/>
          <w:szCs w:val="32"/>
        </w:rPr>
        <w:t>（公章）</w:t>
      </w:r>
      <w:bookmarkEnd w:id="332"/>
      <w:r>
        <w:rPr>
          <w:rFonts w:hint="eastAsia" w:ascii="仿宋_GB2312" w:hAnsi="仿宋_GB2312" w:eastAsia="仿宋_GB2312" w:cs="仿宋_GB2312"/>
          <w:b w:val="0"/>
          <w:bCs/>
          <w:color w:val="000000"/>
          <w:sz w:val="32"/>
          <w:szCs w:val="32"/>
        </w:rPr>
        <w:t xml:space="preserve">    </w:t>
      </w:r>
    </w:p>
    <w:p w14:paraId="29DD5CF9">
      <w:pPr>
        <w:widowControl w:val="0"/>
        <w:wordWrap/>
        <w:adjustRightInd/>
        <w:snapToGrid/>
        <w:spacing w:before="157" w:beforeLines="50" w:line="560" w:lineRule="exact"/>
        <w:ind w:firstLine="480" w:firstLineChars="200"/>
        <w:jc w:val="right"/>
        <w:textAlignment w:val="auto"/>
        <w:outlineLvl w:val="9"/>
        <w:rPr>
          <w:rFonts w:hint="eastAsia" w:ascii="仿宋_GB2312" w:hAnsi="仿宋_GB2312" w:eastAsia="仿宋_GB2312" w:cs="仿宋_GB2312"/>
          <w:b w:val="0"/>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 xml:space="preserve">（签字或盖章）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333" w:name="_Toc32599_WPSOffice_Level3"/>
      <w:bookmarkStart w:id="334" w:name="_Toc6591_WPSOffice_Level3"/>
      <w:r>
        <w:rPr>
          <w:rFonts w:hint="eastAsia" w:ascii="仿宋_GB2312" w:hAnsi="仿宋_GB2312" w:eastAsia="仿宋_GB2312" w:cs="仿宋_GB2312"/>
          <w:b w:val="0"/>
          <w:bCs/>
          <w:color w:val="000000"/>
          <w:sz w:val="32"/>
          <w:szCs w:val="32"/>
        </w:rPr>
        <w:t>年   月   日</w:t>
      </w:r>
      <w:bookmarkEnd w:id="333"/>
      <w:bookmarkEnd w:id="334"/>
    </w:p>
    <w:p w14:paraId="5B3F6BEF">
      <w:pPr>
        <w:wordWrap/>
        <w:spacing w:before="157" w:beforeLines="50" w:line="560" w:lineRule="exact"/>
        <w:outlineLvl w:val="9"/>
        <w:rPr>
          <w:rFonts w:hint="eastAsia" w:ascii="宋体" w:hAnsi="宋体"/>
          <w:b/>
          <w:bCs/>
          <w:color w:val="000000"/>
          <w:sz w:val="24"/>
        </w:rPr>
      </w:pPr>
    </w:p>
    <w:p w14:paraId="4E055AEF">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35" w:name="_Toc7737_WPSOffice_Level3"/>
      <w:bookmarkStart w:id="336" w:name="_Toc23618"/>
      <w:bookmarkStart w:id="337" w:name="_Toc16704"/>
      <w:bookmarkStart w:id="338" w:name="_Toc26653_WPSOffice_Level3"/>
      <w:bookmarkStart w:id="339" w:name="_Toc30919"/>
      <w:bookmarkStart w:id="340" w:name="_Toc85"/>
      <w:r>
        <w:rPr>
          <w:rFonts w:hint="eastAsia" w:ascii="楷体_GB2312" w:hAnsi="楷体_GB2312" w:eastAsia="楷体_GB2312" w:cs="楷体_GB2312"/>
          <w:b/>
          <w:color w:val="000000"/>
          <w:sz w:val="32"/>
          <w:szCs w:val="32"/>
          <w:lang w:eastAsia="zh-CN"/>
        </w:rPr>
        <w:t>附件4：竞标人承诺函</w:t>
      </w:r>
      <w:bookmarkEnd w:id="335"/>
      <w:bookmarkEnd w:id="336"/>
      <w:bookmarkEnd w:id="337"/>
      <w:bookmarkEnd w:id="338"/>
      <w:bookmarkEnd w:id="339"/>
      <w:bookmarkEnd w:id="340"/>
    </w:p>
    <w:p w14:paraId="33B04506">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41" w:name="_Toc2453_WPSOffice_Level2"/>
      <w:bookmarkStart w:id="342" w:name="_Toc17639_WPSOffice_Level2"/>
      <w:bookmarkStart w:id="343" w:name="_Toc27597_WPSOffice_Level3"/>
      <w:r>
        <w:rPr>
          <w:rFonts w:hint="eastAsia" w:ascii="仿宋_GB2312" w:hAnsi="仿宋_GB2312" w:eastAsia="仿宋_GB2312" w:cs="仿宋_GB2312"/>
          <w:b/>
          <w:color w:val="000000"/>
          <w:sz w:val="32"/>
          <w:szCs w:val="32"/>
          <w:lang w:eastAsia="zh-CN"/>
        </w:rPr>
        <w:t>竞标人承诺函</w:t>
      </w:r>
      <w:bookmarkEnd w:id="341"/>
      <w:bookmarkEnd w:id="342"/>
      <w:bookmarkEnd w:id="343"/>
    </w:p>
    <w:p w14:paraId="1B533B65">
      <w:pPr>
        <w:widowControl w:val="0"/>
        <w:wordWrap/>
        <w:adjustRightInd/>
        <w:snapToGrid/>
        <w:spacing w:line="560" w:lineRule="exact"/>
        <w:textAlignment w:val="auto"/>
        <w:outlineLvl w:val="9"/>
        <w:rPr>
          <w:rFonts w:hint="default" w:ascii="仿宋_GB2312" w:hAnsi="仿宋_GB2312" w:eastAsia="仿宋_GB2312" w:cs="仿宋_GB2312"/>
          <w:b w:val="0"/>
          <w:bCs w:val="0"/>
          <w:color w:val="000000"/>
          <w:sz w:val="32"/>
          <w:szCs w:val="32"/>
          <w:u w:val="single"/>
          <w:lang w:val="en-US" w:eastAsia="zh-CN"/>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val="en-US" w:eastAsia="zh-CN"/>
        </w:rPr>
        <w:t xml:space="preserve">                 </w:t>
      </w:r>
    </w:p>
    <w:p w14:paraId="03A18EF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关于贵方</w:t>
      </w:r>
      <w:r>
        <w:rPr>
          <w:rFonts w:hint="eastAsia" w:ascii="仿宋_GB2312" w:hAnsi="仿宋_GB2312" w:eastAsia="仿宋_GB2312" w:cs="仿宋_GB2312"/>
          <w:b w:val="0"/>
          <w:bCs w:val="0"/>
          <w:color w:val="000000"/>
          <w:sz w:val="32"/>
          <w:szCs w:val="32"/>
          <w:u w:val="single"/>
          <w:lang w:val="en-US" w:eastAsia="zh-CN"/>
        </w:rPr>
        <w:t xml:space="preserve">   </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日</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eastAsia="zh-CN"/>
        </w:rPr>
        <w:t>（项目名称及编号）</w:t>
      </w:r>
      <w:r>
        <w:rPr>
          <w:rFonts w:hint="eastAsia" w:ascii="仿宋_GB2312" w:hAnsi="仿宋_GB2312" w:eastAsia="仿宋_GB2312" w:cs="仿宋_GB2312"/>
          <w:b w:val="0"/>
          <w:bCs w:val="0"/>
          <w:color w:val="000000"/>
          <w:sz w:val="32"/>
          <w:szCs w:val="32"/>
        </w:rPr>
        <w:t>项目，本签字人愿意参加</w:t>
      </w:r>
      <w:r>
        <w:rPr>
          <w:rFonts w:hint="eastAsia" w:ascii="仿宋_GB2312" w:hAnsi="仿宋_GB2312" w:eastAsia="仿宋_GB2312" w:cs="仿宋_GB2312"/>
          <w:b w:val="0"/>
          <w:bCs w:val="0"/>
          <w:color w:val="000000"/>
          <w:sz w:val="32"/>
          <w:szCs w:val="32"/>
          <w:lang w:eastAsia="zh-CN"/>
        </w:rPr>
        <w:t>谈判</w:t>
      </w:r>
      <w:r>
        <w:rPr>
          <w:rFonts w:hint="eastAsia" w:ascii="仿宋_GB2312" w:hAnsi="仿宋_GB2312" w:eastAsia="仿宋_GB2312" w:cs="仿宋_GB2312"/>
          <w:b w:val="0"/>
          <w:bCs w:val="0"/>
          <w:color w:val="000000"/>
          <w:sz w:val="32"/>
          <w:szCs w:val="32"/>
        </w:rPr>
        <w:t>，提供</w:t>
      </w:r>
      <w:r>
        <w:rPr>
          <w:rFonts w:hint="eastAsia" w:ascii="仿宋_GB2312" w:hAnsi="仿宋_GB2312" w:eastAsia="仿宋_GB2312" w:cs="仿宋_GB2312"/>
          <w:b w:val="0"/>
          <w:bCs w:val="0"/>
          <w:color w:val="000000"/>
          <w:sz w:val="32"/>
          <w:szCs w:val="32"/>
          <w:lang w:val="en-US" w:eastAsia="zh-CN"/>
        </w:rPr>
        <w:t>相应服务</w:t>
      </w:r>
      <w:r>
        <w:rPr>
          <w:rFonts w:hint="eastAsia" w:ascii="仿宋_GB2312" w:hAnsi="仿宋_GB2312" w:eastAsia="仿宋_GB2312" w:cs="仿宋_GB2312"/>
          <w:b w:val="0"/>
          <w:bCs w:val="0"/>
          <w:color w:val="000000"/>
          <w:sz w:val="32"/>
          <w:szCs w:val="32"/>
        </w:rPr>
        <w:t>，并证实提交的所有资料是准确的和真实的。同时，我代表</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u w:val="single"/>
        </w:rPr>
        <w:t>（</w:t>
      </w:r>
      <w:r>
        <w:rPr>
          <w:rFonts w:hint="eastAsia" w:ascii="仿宋_GB2312" w:hAnsi="仿宋_GB2312" w:eastAsia="仿宋_GB2312" w:cs="仿宋_GB2312"/>
          <w:b w:val="0"/>
          <w:bCs w:val="0"/>
          <w:color w:val="000000"/>
          <w:sz w:val="32"/>
          <w:szCs w:val="32"/>
          <w:u w:val="single"/>
          <w:lang w:eastAsia="zh-CN"/>
        </w:rPr>
        <w:t>竞标人</w:t>
      </w:r>
      <w:r>
        <w:rPr>
          <w:rFonts w:hint="eastAsia" w:ascii="仿宋_GB2312" w:hAnsi="仿宋_GB2312" w:eastAsia="仿宋_GB2312" w:cs="仿宋_GB2312"/>
          <w:b w:val="0"/>
          <w:bCs w:val="0"/>
          <w:color w:val="000000"/>
          <w:sz w:val="32"/>
          <w:szCs w:val="32"/>
          <w:u w:val="single"/>
        </w:rPr>
        <w:t>名称）</w:t>
      </w:r>
      <w:r>
        <w:rPr>
          <w:rFonts w:hint="eastAsia" w:ascii="仿宋_GB2312" w:hAnsi="仿宋_GB2312" w:eastAsia="仿宋_GB2312" w:cs="仿宋_GB2312"/>
          <w:b w:val="0"/>
          <w:bCs w:val="0"/>
          <w:color w:val="000000"/>
          <w:sz w:val="32"/>
          <w:szCs w:val="32"/>
        </w:rPr>
        <w:t>，在此作如下承诺：</w:t>
      </w:r>
    </w:p>
    <w:p w14:paraId="383808FB">
      <w:pPr>
        <w:widowControl w:val="0"/>
        <w:wordWrap/>
        <w:adjustRightInd/>
        <w:snapToGrid/>
        <w:spacing w:line="560" w:lineRule="exact"/>
        <w:ind w:firstLine="640" w:firstLineChars="200"/>
        <w:textAlignment w:val="auto"/>
        <w:outlineLvl w:val="2"/>
        <w:rPr>
          <w:rFonts w:hint="eastAsia" w:ascii="仿宋_GB2312" w:hAnsi="仿宋_GB2312" w:eastAsia="仿宋_GB2312" w:cs="仿宋_GB2312"/>
          <w:b w:val="0"/>
          <w:bCs w:val="0"/>
          <w:color w:val="000000"/>
          <w:sz w:val="32"/>
          <w:szCs w:val="32"/>
        </w:rPr>
      </w:pPr>
      <w:bookmarkStart w:id="344" w:name="_Toc18816"/>
      <w:r>
        <w:rPr>
          <w:rFonts w:hint="eastAsia" w:ascii="仿宋_GB2312" w:hAnsi="仿宋_GB2312" w:eastAsia="仿宋_GB2312" w:cs="仿宋_GB2312"/>
          <w:b w:val="0"/>
          <w:bCs w:val="0"/>
          <w:color w:val="000000"/>
          <w:sz w:val="32"/>
          <w:szCs w:val="32"/>
        </w:rPr>
        <w:t>1、完全理解和接受谈判文件的一切规定和要求；</w:t>
      </w:r>
      <w:bookmarkEnd w:id="344"/>
    </w:p>
    <w:p w14:paraId="35B527A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2、若</w:t>
      </w:r>
      <w:r>
        <w:rPr>
          <w:rFonts w:hint="eastAsia" w:ascii="仿宋_GB2312" w:hAnsi="仿宋_GB2312" w:eastAsia="仿宋_GB2312" w:cs="仿宋_GB2312"/>
          <w:b w:val="0"/>
          <w:bCs w:val="0"/>
          <w:color w:val="000000"/>
          <w:sz w:val="32"/>
          <w:szCs w:val="32"/>
          <w:lang w:eastAsia="zh-CN"/>
        </w:rPr>
        <w:t>成交</w:t>
      </w:r>
      <w:r>
        <w:rPr>
          <w:rFonts w:hint="eastAsia" w:ascii="仿宋_GB2312" w:hAnsi="仿宋_GB2312" w:eastAsia="仿宋_GB2312" w:cs="仿宋_GB2312"/>
          <w:b w:val="0"/>
          <w:bCs w:val="0"/>
          <w:color w:val="000000"/>
          <w:sz w:val="32"/>
          <w:szCs w:val="32"/>
        </w:rPr>
        <w:t>，我方将按照谈判文件的具体规定与</w:t>
      </w:r>
      <w:r>
        <w:rPr>
          <w:rFonts w:hint="eastAsia" w:ascii="仿宋_GB2312" w:hAnsi="仿宋_GB2312" w:eastAsia="仿宋_GB2312" w:cs="仿宋_GB2312"/>
          <w:b w:val="0"/>
          <w:bCs w:val="0"/>
          <w:color w:val="000000"/>
          <w:sz w:val="32"/>
          <w:szCs w:val="32"/>
          <w:lang w:val="en-US" w:eastAsia="zh-CN"/>
        </w:rPr>
        <w:t>招标</w:t>
      </w:r>
      <w:r>
        <w:rPr>
          <w:rFonts w:hint="eastAsia" w:ascii="仿宋_GB2312" w:hAnsi="仿宋_GB2312" w:eastAsia="仿宋_GB2312" w:cs="仿宋_GB2312"/>
          <w:b w:val="0"/>
          <w:bCs w:val="0"/>
          <w:color w:val="000000"/>
          <w:sz w:val="32"/>
          <w:szCs w:val="32"/>
        </w:rPr>
        <w:t>人签订合同，并且严格履行合同义务，提供优质的产品和服务。如果在合同执行过程中，发现质量、数量出现问题，我方一定尽快更换或补退货，并承担相应的经济责任；</w:t>
      </w:r>
    </w:p>
    <w:p w14:paraId="1D07778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3、我方保证甲方在使用该产品或其任何一部分时，不受第三方提出的侵犯专利权、著作权、商标权和工业设计权等知识产权的起诉，若有</w:t>
      </w:r>
      <w:r>
        <w:rPr>
          <w:rFonts w:hint="eastAsia" w:ascii="仿宋_GB2312" w:hAnsi="仿宋_GB2312" w:eastAsia="仿宋_GB2312" w:cs="仿宋_GB2312"/>
          <w:b w:val="0"/>
          <w:bCs w:val="0"/>
          <w:color w:val="000000"/>
          <w:sz w:val="32"/>
          <w:szCs w:val="32"/>
          <w:lang w:eastAsia="zh-CN"/>
        </w:rPr>
        <w:t>违反</w:t>
      </w:r>
      <w:r>
        <w:rPr>
          <w:rFonts w:hint="eastAsia" w:ascii="仿宋_GB2312" w:hAnsi="仿宋_GB2312" w:eastAsia="仿宋_GB2312" w:cs="仿宋_GB2312"/>
          <w:b w:val="0"/>
          <w:bCs w:val="0"/>
          <w:color w:val="000000"/>
          <w:sz w:val="32"/>
          <w:szCs w:val="32"/>
        </w:rPr>
        <w:t>，愿承担相应的一切责任。</w:t>
      </w:r>
    </w:p>
    <w:p w14:paraId="0D4ACD18">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4、我方承诺，除谈判文件中规定的优质产品外，所投的产品均为国产产品，且均符合国家强制性标准。若有不实，愿承担相应的责任。</w:t>
      </w:r>
    </w:p>
    <w:p w14:paraId="6476B0D6">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5、在整个谈判过程中我方若有违规行为，贵方可按谈判文件之规定给予处罚，我方完全接受。</w:t>
      </w:r>
    </w:p>
    <w:p w14:paraId="2104C8D5">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6、若成交，本承诺将成为合同不可分割的一部分，与合同具有同等的法律效力。</w:t>
      </w:r>
    </w:p>
    <w:p w14:paraId="74724C45">
      <w:pPr>
        <w:widowControl w:val="0"/>
        <w:wordWrap/>
        <w:adjustRightInd/>
        <w:snapToGrid/>
        <w:spacing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45" w:name="_Toc29941_WPSOffice_Level3"/>
      <w:r>
        <w:rPr>
          <w:rFonts w:hint="eastAsia" w:ascii="仿宋_GB2312" w:hAnsi="仿宋_GB2312" w:eastAsia="仿宋_GB2312" w:cs="仿宋_GB2312"/>
          <w:b w:val="0"/>
          <w:bCs/>
          <w:color w:val="000000"/>
          <w:sz w:val="32"/>
          <w:szCs w:val="32"/>
          <w:lang w:val="en-US" w:eastAsia="zh-CN"/>
        </w:rPr>
        <w:t xml:space="preserve">  </w:t>
      </w:r>
      <w:bookmarkStart w:id="346" w:name="_Toc11979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45"/>
      <w:bookmarkEnd w:id="346"/>
    </w:p>
    <w:p w14:paraId="2CF9B4BC">
      <w:pPr>
        <w:widowControl w:val="0"/>
        <w:wordWrap/>
        <w:adjustRightInd/>
        <w:snapToGrid/>
        <w:spacing w:line="560" w:lineRule="exact"/>
        <w:ind w:firstLine="640" w:firstLineChars="200"/>
        <w:jc w:val="center"/>
        <w:textAlignment w:val="auto"/>
        <w:outlineLvl w:val="3"/>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47" w:name="_Toc22507_WPSOffice_Level3"/>
      <w:bookmarkStart w:id="348" w:name="_Toc15106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47"/>
      <w:bookmarkEnd w:id="348"/>
    </w:p>
    <w:p w14:paraId="6F540F39">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49" w:name="_Toc24254_WPSOffice_Level3"/>
      <w:r>
        <w:rPr>
          <w:rFonts w:hint="eastAsia" w:ascii="仿宋_GB2312" w:hAnsi="仿宋_GB2312" w:eastAsia="仿宋_GB2312" w:cs="仿宋_GB2312"/>
          <w:b w:val="0"/>
          <w:bCs/>
          <w:color w:val="000000"/>
          <w:sz w:val="32"/>
          <w:szCs w:val="32"/>
          <w:lang w:val="en-US" w:eastAsia="zh-CN"/>
        </w:rPr>
        <w:t xml:space="preserve">                      </w:t>
      </w:r>
      <w:bookmarkStart w:id="350" w:name="_Toc9343_WPSOffice_Level3"/>
      <w:r>
        <w:rPr>
          <w:rFonts w:hint="eastAsia" w:ascii="仿宋_GB2312" w:hAnsi="仿宋_GB2312" w:eastAsia="仿宋_GB2312" w:cs="仿宋_GB2312"/>
          <w:b w:val="0"/>
          <w:bCs/>
          <w:color w:val="000000"/>
          <w:sz w:val="32"/>
          <w:szCs w:val="32"/>
        </w:rPr>
        <w:t>年   月  日</w:t>
      </w:r>
      <w:bookmarkEnd w:id="349"/>
      <w:bookmarkEnd w:id="350"/>
    </w:p>
    <w:p w14:paraId="2BAE5BB9">
      <w:pPr>
        <w:widowControl/>
        <w:wordWrap/>
        <w:snapToGrid w:val="0"/>
        <w:spacing w:before="157" w:beforeLines="50" w:line="560" w:lineRule="exact"/>
        <w:outlineLvl w:val="1"/>
        <w:rPr>
          <w:rFonts w:hint="eastAsia" w:ascii="宋体" w:hAnsi="宋体"/>
          <w:b/>
          <w:color w:val="000000"/>
          <w:sz w:val="36"/>
          <w:szCs w:val="36"/>
        </w:rPr>
      </w:pPr>
      <w:r>
        <w:rPr>
          <w:rFonts w:ascii="宋体"/>
          <w:b/>
          <w:color w:val="000000"/>
          <w:sz w:val="28"/>
          <w:szCs w:val="28"/>
        </w:rPr>
        <w:br w:type="page"/>
      </w:r>
      <w:bookmarkStart w:id="351" w:name="_Toc6416"/>
      <w:bookmarkStart w:id="352" w:name="_Toc20884"/>
      <w:bookmarkStart w:id="353" w:name="_Toc653_WPSOffice_Level3"/>
      <w:bookmarkStart w:id="354" w:name="_Toc17895"/>
      <w:bookmarkStart w:id="355" w:name="_Toc25740"/>
      <w:bookmarkStart w:id="356" w:name="_Toc26773_WPSOffice_Level3"/>
      <w:r>
        <w:rPr>
          <w:rFonts w:hint="eastAsia" w:ascii="楷体_GB2312" w:hAnsi="楷体_GB2312" w:eastAsia="楷体_GB2312" w:cs="楷体_GB2312"/>
          <w:b/>
          <w:color w:val="000000"/>
          <w:sz w:val="32"/>
          <w:szCs w:val="32"/>
          <w:lang w:eastAsia="zh-CN"/>
        </w:rPr>
        <w:t>附件5：竞标人诚信承诺书</w:t>
      </w:r>
      <w:bookmarkEnd w:id="351"/>
      <w:bookmarkEnd w:id="352"/>
      <w:bookmarkEnd w:id="353"/>
      <w:bookmarkEnd w:id="354"/>
      <w:bookmarkEnd w:id="355"/>
      <w:bookmarkEnd w:id="356"/>
    </w:p>
    <w:p w14:paraId="3226FF73">
      <w:pPr>
        <w:wordWrap/>
        <w:spacing w:before="157" w:beforeLines="50" w:line="560" w:lineRule="exact"/>
        <w:jc w:val="center"/>
        <w:outlineLvl w:val="9"/>
        <w:rPr>
          <w:rFonts w:hint="eastAsia" w:ascii="宋体" w:hAnsi="宋体"/>
          <w:b/>
          <w:color w:val="000000"/>
          <w:sz w:val="36"/>
          <w:szCs w:val="36"/>
        </w:rPr>
      </w:pPr>
      <w:bookmarkStart w:id="357" w:name="_Toc22537_WPSOffice_Level3"/>
      <w:bookmarkStart w:id="358" w:name="_Toc22989_WPSOffice_Level3"/>
      <w:r>
        <w:rPr>
          <w:rFonts w:hint="eastAsia" w:ascii="仿宋_GB2312" w:hAnsi="仿宋_GB2312" w:eastAsia="仿宋_GB2312" w:cs="仿宋_GB2312"/>
          <w:b/>
          <w:color w:val="000000"/>
          <w:sz w:val="32"/>
          <w:szCs w:val="32"/>
          <w:lang w:eastAsia="zh-CN"/>
        </w:rPr>
        <w:t>竞标人诚信承诺书</w:t>
      </w:r>
      <w:bookmarkEnd w:id="357"/>
      <w:bookmarkEnd w:id="358"/>
    </w:p>
    <w:p w14:paraId="64F58358">
      <w:pPr>
        <w:widowControl w:val="0"/>
        <w:wordWrap/>
        <w:adjustRightInd/>
        <w:snapToGrid/>
        <w:spacing w:line="560" w:lineRule="exact"/>
        <w:textAlignment w:val="auto"/>
        <w:outlineLvl w:val="9"/>
        <w:rPr>
          <w:rFonts w:hint="default" w:ascii="仿宋_GB2312" w:hAnsi="仿宋_GB2312" w:eastAsia="仿宋_GB2312" w:cs="仿宋_GB2312"/>
          <w:b w:val="0"/>
          <w:bCs w:val="0"/>
          <w:color w:val="000000"/>
          <w:sz w:val="32"/>
          <w:szCs w:val="32"/>
          <w:u w:val="single"/>
          <w:lang w:val="en-US" w:eastAsia="zh-CN"/>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val="en-US" w:eastAsia="zh-CN"/>
        </w:rPr>
        <w:t xml:space="preserve">                  </w:t>
      </w:r>
    </w:p>
    <w:p w14:paraId="512B60BE">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为了诚实、客观、有序地参与</w:t>
      </w:r>
      <w:r>
        <w:rPr>
          <w:rFonts w:hint="eastAsia" w:ascii="仿宋_GB2312" w:hAnsi="仿宋_GB2312" w:eastAsia="仿宋_GB2312" w:cs="仿宋_GB2312"/>
          <w:b w:val="0"/>
          <w:bCs w:val="0"/>
          <w:color w:val="000000"/>
          <w:sz w:val="32"/>
          <w:szCs w:val="32"/>
          <w:lang w:val="en-US" w:eastAsia="zh-CN"/>
        </w:rPr>
        <w:t>贵单位谈判</w:t>
      </w:r>
      <w:r>
        <w:rPr>
          <w:rFonts w:hint="eastAsia" w:ascii="仿宋_GB2312" w:hAnsi="仿宋_GB2312" w:eastAsia="仿宋_GB2312" w:cs="仿宋_GB2312"/>
          <w:b w:val="0"/>
          <w:bCs w:val="0"/>
          <w:color w:val="000000"/>
          <w:sz w:val="32"/>
          <w:szCs w:val="32"/>
        </w:rPr>
        <w:t>活动，愿就以下内容作出承诺：</w:t>
      </w:r>
    </w:p>
    <w:p w14:paraId="5C8978F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、自觉遵守各项法律、法规、规章、制度以及社会公德，维护廉洁环境，与同场竞争的</w:t>
      </w:r>
      <w:r>
        <w:rPr>
          <w:rFonts w:hint="eastAsia" w:ascii="仿宋_GB2312" w:hAnsi="仿宋_GB2312" w:eastAsia="仿宋_GB2312" w:cs="仿宋_GB2312"/>
          <w:b w:val="0"/>
          <w:bCs w:val="0"/>
          <w:color w:val="000000"/>
          <w:sz w:val="32"/>
          <w:szCs w:val="32"/>
          <w:lang w:eastAsia="zh-CN"/>
        </w:rPr>
        <w:t>竞标人</w:t>
      </w:r>
      <w:r>
        <w:rPr>
          <w:rFonts w:hint="eastAsia" w:ascii="仿宋_GB2312" w:hAnsi="仿宋_GB2312" w:eastAsia="仿宋_GB2312" w:cs="仿宋_GB2312"/>
          <w:b w:val="0"/>
          <w:bCs w:val="0"/>
          <w:color w:val="000000"/>
          <w:sz w:val="32"/>
          <w:szCs w:val="32"/>
        </w:rPr>
        <w:t>平等参加采购活动。</w:t>
      </w:r>
    </w:p>
    <w:p w14:paraId="5F96402D">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、参加</w:t>
      </w:r>
      <w:r>
        <w:rPr>
          <w:rFonts w:hint="eastAsia" w:ascii="仿宋_GB2312" w:hAnsi="仿宋_GB2312" w:eastAsia="仿宋_GB2312" w:cs="仿宋_GB2312"/>
          <w:b w:val="0"/>
          <w:bCs w:val="0"/>
          <w:color w:val="000000"/>
          <w:sz w:val="32"/>
          <w:szCs w:val="32"/>
          <w:lang w:val="en-US" w:eastAsia="zh-CN"/>
        </w:rPr>
        <w:t>贵单位</w:t>
      </w:r>
      <w:r>
        <w:rPr>
          <w:rFonts w:hint="eastAsia" w:ascii="仿宋_GB2312" w:hAnsi="仿宋_GB2312" w:eastAsia="仿宋_GB2312" w:cs="仿宋_GB2312"/>
          <w:b w:val="0"/>
          <w:bCs w:val="0"/>
          <w:color w:val="000000"/>
          <w:sz w:val="32"/>
          <w:szCs w:val="32"/>
        </w:rPr>
        <w:t>组织的</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活动时，严格按照谈判文件的规定和要求提供所需的相关材料，并对所提供的各类资料的真实性负责，不虚假</w:t>
      </w:r>
      <w:r>
        <w:rPr>
          <w:rFonts w:hint="eastAsia" w:ascii="仿宋_GB2312" w:hAnsi="仿宋_GB2312" w:eastAsia="仿宋_GB2312" w:cs="仿宋_GB2312"/>
          <w:b w:val="0"/>
          <w:bCs w:val="0"/>
          <w:color w:val="000000"/>
          <w:sz w:val="32"/>
          <w:szCs w:val="32"/>
          <w:lang w:eastAsia="zh-CN"/>
        </w:rPr>
        <w:t>响应</w:t>
      </w:r>
      <w:r>
        <w:rPr>
          <w:rFonts w:hint="eastAsia" w:ascii="仿宋_GB2312" w:hAnsi="仿宋_GB2312" w:eastAsia="仿宋_GB2312" w:cs="仿宋_GB2312"/>
          <w:b w:val="0"/>
          <w:bCs w:val="0"/>
          <w:color w:val="000000"/>
          <w:sz w:val="32"/>
          <w:szCs w:val="32"/>
        </w:rPr>
        <w:t>，不虚列业绩。</w:t>
      </w:r>
    </w:p>
    <w:p w14:paraId="4A70AE5B">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、尊重参与</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活动各相关方的合法行为，接受</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活动依法形成的意见、结果。</w:t>
      </w:r>
    </w:p>
    <w:p w14:paraId="377E551C">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、依法参加</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活动，不围标、串标，维护市场秩序，不提供“三无”产品、以次充好。</w:t>
      </w:r>
    </w:p>
    <w:p w14:paraId="5D1B2306">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、积极推动</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活动健康开展，对</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活动有疑问、异议时，按法律规定的程序实名（加盖单位</w:t>
      </w:r>
      <w:r>
        <w:rPr>
          <w:rFonts w:hint="eastAsia" w:ascii="仿宋_GB2312" w:hAnsi="仿宋_GB2312" w:eastAsia="仿宋_GB2312" w:cs="仿宋_GB2312"/>
          <w:b w:val="0"/>
          <w:bCs w:val="0"/>
          <w:color w:val="000000"/>
          <w:sz w:val="32"/>
          <w:szCs w:val="32"/>
          <w:lang w:eastAsia="zh-CN"/>
        </w:rPr>
        <w:t>公</w:t>
      </w:r>
      <w:r>
        <w:rPr>
          <w:rFonts w:hint="eastAsia" w:ascii="仿宋_GB2312" w:hAnsi="仿宋_GB2312" w:eastAsia="仿宋_GB2312" w:cs="仿宋_GB2312"/>
          <w:b w:val="0"/>
          <w:bCs w:val="0"/>
          <w:color w:val="000000"/>
          <w:sz w:val="32"/>
          <w:szCs w:val="32"/>
        </w:rPr>
        <w:t>章和法定代表人签名）反映情况，不恶意中伤、无事生非，以和谐、平等的心态参加采购活动。</w:t>
      </w:r>
    </w:p>
    <w:p w14:paraId="471E2E84">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、认真履行成交</w:t>
      </w:r>
      <w:r>
        <w:rPr>
          <w:rFonts w:hint="eastAsia" w:ascii="仿宋_GB2312" w:hAnsi="仿宋_GB2312" w:eastAsia="仿宋_GB2312" w:cs="仿宋_GB2312"/>
          <w:b w:val="0"/>
          <w:bCs w:val="0"/>
          <w:color w:val="000000"/>
          <w:sz w:val="32"/>
          <w:szCs w:val="32"/>
          <w:lang w:eastAsia="zh-CN"/>
        </w:rPr>
        <w:t>竞标人</w:t>
      </w:r>
      <w:r>
        <w:rPr>
          <w:rFonts w:hint="eastAsia" w:ascii="仿宋_GB2312" w:hAnsi="仿宋_GB2312" w:eastAsia="仿宋_GB2312" w:cs="仿宋_GB2312"/>
          <w:b w:val="0"/>
          <w:bCs w:val="0"/>
          <w:color w:val="000000"/>
          <w:sz w:val="32"/>
          <w:szCs w:val="32"/>
        </w:rPr>
        <w:t>应承担的责任和义务，全面执行合同规定的各项内容，保质保量地按时提供</w:t>
      </w:r>
      <w:r>
        <w:rPr>
          <w:rFonts w:hint="eastAsia" w:ascii="仿宋_GB2312" w:hAnsi="仿宋_GB2312" w:eastAsia="仿宋_GB2312" w:cs="仿宋_GB2312"/>
          <w:b w:val="0"/>
          <w:bCs w:val="0"/>
          <w:color w:val="000000"/>
          <w:sz w:val="32"/>
          <w:szCs w:val="32"/>
          <w:lang w:val="en-US" w:eastAsia="zh-CN"/>
        </w:rPr>
        <w:t>服务</w:t>
      </w:r>
      <w:r>
        <w:rPr>
          <w:rFonts w:hint="eastAsia" w:ascii="仿宋_GB2312" w:hAnsi="仿宋_GB2312" w:eastAsia="仿宋_GB2312" w:cs="仿宋_GB2312"/>
          <w:b w:val="0"/>
          <w:bCs w:val="0"/>
          <w:color w:val="000000"/>
          <w:sz w:val="32"/>
          <w:szCs w:val="32"/>
        </w:rPr>
        <w:t>。</w:t>
      </w:r>
    </w:p>
    <w:p w14:paraId="02278640">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若本企业（单位）发生有悖于上述承诺的行为，愿意接受《中华人民共和国</w:t>
      </w:r>
      <w:r>
        <w:rPr>
          <w:rFonts w:hint="eastAsia" w:ascii="仿宋_GB2312" w:hAnsi="仿宋_GB2312" w:eastAsia="仿宋_GB2312" w:cs="仿宋_GB2312"/>
          <w:b w:val="0"/>
          <w:bCs w:val="0"/>
          <w:color w:val="000000"/>
          <w:sz w:val="32"/>
          <w:szCs w:val="32"/>
          <w:lang w:val="en-US" w:eastAsia="zh-CN"/>
        </w:rPr>
        <w:t>招投标</w:t>
      </w:r>
      <w:r>
        <w:rPr>
          <w:rFonts w:hint="eastAsia" w:ascii="仿宋_GB2312" w:hAnsi="仿宋_GB2312" w:eastAsia="仿宋_GB2312" w:cs="仿宋_GB2312"/>
          <w:b w:val="0"/>
          <w:bCs w:val="0"/>
          <w:color w:val="000000"/>
          <w:sz w:val="32"/>
          <w:szCs w:val="32"/>
        </w:rPr>
        <w:t>法》和</w:t>
      </w:r>
      <w:r>
        <w:rPr>
          <w:rFonts w:hint="eastAsia" w:ascii="仿宋_GB2312" w:hAnsi="仿宋_GB2312" w:eastAsia="仿宋_GB2312" w:cs="仿宋_GB2312"/>
          <w:b w:val="0"/>
          <w:bCs w:val="0"/>
          <w:color w:val="000000"/>
          <w:sz w:val="32"/>
          <w:szCs w:val="32"/>
          <w:lang w:val="en-US" w:eastAsia="zh-CN"/>
        </w:rPr>
        <w:t>相关法律法规</w:t>
      </w:r>
      <w:r>
        <w:rPr>
          <w:rFonts w:hint="eastAsia" w:ascii="仿宋_GB2312" w:hAnsi="仿宋_GB2312" w:eastAsia="仿宋_GB2312" w:cs="仿宋_GB2312"/>
          <w:b w:val="0"/>
          <w:bCs w:val="0"/>
          <w:color w:val="000000"/>
          <w:sz w:val="32"/>
          <w:szCs w:val="32"/>
        </w:rPr>
        <w:t>中对</w:t>
      </w:r>
      <w:r>
        <w:rPr>
          <w:rFonts w:hint="eastAsia" w:ascii="仿宋_GB2312" w:hAnsi="仿宋_GB2312" w:eastAsia="仿宋_GB2312" w:cs="仿宋_GB2312"/>
          <w:b w:val="0"/>
          <w:bCs w:val="0"/>
          <w:color w:val="000000"/>
          <w:sz w:val="32"/>
          <w:szCs w:val="32"/>
          <w:lang w:eastAsia="zh-CN"/>
        </w:rPr>
        <w:t>竞标人</w:t>
      </w:r>
      <w:r>
        <w:rPr>
          <w:rFonts w:hint="eastAsia" w:ascii="仿宋_GB2312" w:hAnsi="仿宋_GB2312" w:eastAsia="仿宋_GB2312" w:cs="仿宋_GB2312"/>
          <w:b w:val="0"/>
          <w:bCs w:val="0"/>
          <w:color w:val="000000"/>
          <w:sz w:val="32"/>
          <w:szCs w:val="32"/>
        </w:rPr>
        <w:t>的相关处理。</w:t>
      </w:r>
    </w:p>
    <w:p w14:paraId="3D8C2A76">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本承诺是</w:t>
      </w:r>
      <w:r>
        <w:rPr>
          <w:rFonts w:hint="eastAsia" w:ascii="仿宋_GB2312" w:hAnsi="仿宋_GB2312" w:eastAsia="仿宋_GB2312" w:cs="仿宋_GB2312"/>
          <w:b w:val="0"/>
          <w:bCs w:val="0"/>
          <w:color w:val="000000"/>
          <w:sz w:val="32"/>
          <w:szCs w:val="32"/>
          <w:lang w:val="en-US" w:eastAsia="zh-CN"/>
        </w:rPr>
        <w:t>谈判</w:t>
      </w:r>
      <w:r>
        <w:rPr>
          <w:rFonts w:hint="eastAsia" w:ascii="仿宋_GB2312" w:hAnsi="仿宋_GB2312" w:eastAsia="仿宋_GB2312" w:cs="仿宋_GB2312"/>
          <w:b w:val="0"/>
          <w:bCs w:val="0"/>
          <w:color w:val="000000"/>
          <w:sz w:val="32"/>
          <w:szCs w:val="32"/>
        </w:rPr>
        <w:t>项目谈判响应文件的组成部分。</w:t>
      </w:r>
    </w:p>
    <w:p w14:paraId="382C88BC">
      <w:pPr>
        <w:widowControl w:val="0"/>
        <w:wordWrap/>
        <w:adjustRightInd/>
        <w:snapToGrid/>
        <w:spacing w:before="157" w:beforeLines="50"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59" w:name="_Toc23784_WPSOffice_Level3"/>
      <w:bookmarkStart w:id="360" w:name="_Toc2830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59"/>
      <w:bookmarkEnd w:id="360"/>
    </w:p>
    <w:p w14:paraId="1A83425C">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61" w:name="_Toc25026_WPSOffice_Level3"/>
      <w:bookmarkStart w:id="362" w:name="_Toc13573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61"/>
      <w:bookmarkEnd w:id="362"/>
    </w:p>
    <w:p w14:paraId="6184E7D6">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63" w:name="_Toc5564_WPSOffice_Level3"/>
      <w:r>
        <w:rPr>
          <w:rFonts w:hint="eastAsia" w:ascii="仿宋_GB2312" w:hAnsi="仿宋_GB2312" w:eastAsia="仿宋_GB2312" w:cs="仿宋_GB2312"/>
          <w:b w:val="0"/>
          <w:bCs/>
          <w:color w:val="000000"/>
          <w:sz w:val="32"/>
          <w:szCs w:val="32"/>
          <w:lang w:val="en-US" w:eastAsia="zh-CN"/>
        </w:rPr>
        <w:t xml:space="preserve">                      </w:t>
      </w:r>
      <w:bookmarkStart w:id="364" w:name="_Toc12645_WPSOffice_Level3"/>
      <w:r>
        <w:rPr>
          <w:rFonts w:hint="eastAsia" w:ascii="仿宋_GB2312" w:hAnsi="仿宋_GB2312" w:eastAsia="仿宋_GB2312" w:cs="仿宋_GB2312"/>
          <w:b w:val="0"/>
          <w:bCs/>
          <w:color w:val="000000"/>
          <w:sz w:val="32"/>
          <w:szCs w:val="32"/>
        </w:rPr>
        <w:t>年   月  日</w:t>
      </w:r>
      <w:bookmarkEnd w:id="363"/>
      <w:bookmarkEnd w:id="364"/>
    </w:p>
    <w:p w14:paraId="3A7311E2">
      <w:pPr>
        <w:wordWrap/>
        <w:spacing w:before="157" w:beforeLines="50" w:line="560" w:lineRule="exact"/>
        <w:rPr>
          <w:rFonts w:hint="eastAsia" w:ascii="宋体" w:hAnsi="宋体"/>
          <w:b/>
          <w:color w:val="000000"/>
          <w:sz w:val="24"/>
        </w:rPr>
      </w:pPr>
    </w:p>
    <w:p w14:paraId="7029C0B7">
      <w:pPr>
        <w:widowControl/>
        <w:wordWrap/>
        <w:snapToGrid w:val="0"/>
        <w:spacing w:before="157" w:beforeLines="50" w:line="560" w:lineRule="exact"/>
        <w:outlineLvl w:val="9"/>
        <w:rPr>
          <w:rFonts w:hint="eastAsia" w:ascii="宋体"/>
          <w:b/>
          <w:color w:val="000000"/>
          <w:sz w:val="28"/>
          <w:szCs w:val="28"/>
        </w:rPr>
      </w:pPr>
    </w:p>
    <w:p w14:paraId="0863BBE2">
      <w:pPr>
        <w:widowControl/>
        <w:wordWrap/>
        <w:snapToGrid w:val="0"/>
        <w:spacing w:before="157" w:beforeLines="50" w:line="560" w:lineRule="exact"/>
        <w:outlineLvl w:val="9"/>
        <w:rPr>
          <w:rFonts w:hint="eastAsia" w:ascii="宋体"/>
          <w:b/>
          <w:color w:val="000000"/>
          <w:sz w:val="28"/>
          <w:szCs w:val="28"/>
        </w:rPr>
      </w:pPr>
    </w:p>
    <w:p w14:paraId="3EFD9430">
      <w:pPr>
        <w:widowControl/>
        <w:wordWrap/>
        <w:snapToGrid w:val="0"/>
        <w:spacing w:before="157" w:beforeLines="50" w:line="560" w:lineRule="exact"/>
        <w:outlineLvl w:val="9"/>
        <w:rPr>
          <w:rFonts w:hint="eastAsia" w:ascii="宋体"/>
          <w:b/>
          <w:color w:val="000000"/>
          <w:sz w:val="28"/>
          <w:szCs w:val="28"/>
        </w:rPr>
      </w:pPr>
    </w:p>
    <w:p w14:paraId="7A8B67E3">
      <w:pPr>
        <w:widowControl/>
        <w:wordWrap/>
        <w:snapToGrid w:val="0"/>
        <w:spacing w:before="157" w:beforeLines="50" w:line="560" w:lineRule="exact"/>
        <w:outlineLvl w:val="9"/>
        <w:rPr>
          <w:rFonts w:hint="eastAsia" w:ascii="宋体"/>
          <w:b/>
          <w:color w:val="000000"/>
          <w:sz w:val="28"/>
          <w:szCs w:val="28"/>
        </w:rPr>
      </w:pPr>
    </w:p>
    <w:p w14:paraId="063AF3A6">
      <w:pPr>
        <w:widowControl/>
        <w:wordWrap/>
        <w:snapToGrid w:val="0"/>
        <w:spacing w:before="157" w:beforeLines="50" w:line="560" w:lineRule="exact"/>
        <w:outlineLvl w:val="9"/>
        <w:rPr>
          <w:rFonts w:hint="eastAsia" w:ascii="宋体"/>
          <w:b/>
          <w:color w:val="000000"/>
          <w:sz w:val="28"/>
          <w:szCs w:val="28"/>
        </w:rPr>
      </w:pPr>
    </w:p>
    <w:p w14:paraId="750E06FD">
      <w:pPr>
        <w:widowControl/>
        <w:wordWrap/>
        <w:snapToGrid w:val="0"/>
        <w:spacing w:before="157" w:beforeLines="50" w:line="560" w:lineRule="exact"/>
        <w:outlineLvl w:val="9"/>
        <w:rPr>
          <w:rFonts w:hint="eastAsia" w:ascii="宋体"/>
          <w:b/>
          <w:color w:val="000000"/>
          <w:sz w:val="28"/>
          <w:szCs w:val="28"/>
        </w:rPr>
      </w:pPr>
    </w:p>
    <w:p w14:paraId="0BA5792D">
      <w:pPr>
        <w:widowControl/>
        <w:wordWrap/>
        <w:snapToGrid w:val="0"/>
        <w:spacing w:before="157" w:beforeLines="50" w:line="560" w:lineRule="exact"/>
        <w:outlineLvl w:val="9"/>
        <w:rPr>
          <w:rFonts w:hint="eastAsia" w:ascii="宋体"/>
          <w:b/>
          <w:color w:val="000000"/>
          <w:sz w:val="28"/>
          <w:szCs w:val="28"/>
        </w:rPr>
      </w:pPr>
    </w:p>
    <w:p w14:paraId="55634B19">
      <w:pPr>
        <w:widowControl/>
        <w:wordWrap/>
        <w:snapToGrid w:val="0"/>
        <w:spacing w:before="157" w:beforeLines="50" w:line="560" w:lineRule="exact"/>
        <w:outlineLvl w:val="9"/>
        <w:rPr>
          <w:rFonts w:hint="eastAsia" w:ascii="宋体"/>
          <w:b/>
          <w:color w:val="000000"/>
          <w:sz w:val="28"/>
          <w:szCs w:val="28"/>
        </w:rPr>
      </w:pPr>
    </w:p>
    <w:p w14:paraId="6FEDD761">
      <w:pPr>
        <w:widowControl/>
        <w:wordWrap/>
        <w:snapToGrid w:val="0"/>
        <w:spacing w:before="157" w:beforeLines="50" w:line="560" w:lineRule="exact"/>
        <w:outlineLvl w:val="9"/>
        <w:rPr>
          <w:rFonts w:hint="eastAsia" w:ascii="宋体"/>
          <w:b/>
          <w:color w:val="000000"/>
          <w:sz w:val="28"/>
          <w:szCs w:val="28"/>
        </w:rPr>
      </w:pPr>
    </w:p>
    <w:p w14:paraId="5219CAC0">
      <w:pPr>
        <w:widowControl/>
        <w:wordWrap/>
        <w:snapToGrid w:val="0"/>
        <w:spacing w:before="157" w:beforeLines="50" w:line="560" w:lineRule="exact"/>
        <w:outlineLvl w:val="9"/>
        <w:rPr>
          <w:rFonts w:hint="eastAsia" w:ascii="宋体"/>
          <w:b/>
          <w:color w:val="000000"/>
          <w:sz w:val="28"/>
          <w:szCs w:val="28"/>
        </w:rPr>
      </w:pPr>
    </w:p>
    <w:p w14:paraId="2A1073E2">
      <w:pPr>
        <w:widowControl/>
        <w:wordWrap/>
        <w:snapToGrid w:val="0"/>
        <w:spacing w:before="157" w:beforeLines="50" w:line="560" w:lineRule="exact"/>
        <w:outlineLvl w:val="9"/>
        <w:rPr>
          <w:rFonts w:hint="eastAsia" w:ascii="宋体"/>
          <w:b/>
          <w:color w:val="000000"/>
          <w:sz w:val="28"/>
          <w:szCs w:val="28"/>
        </w:rPr>
      </w:pPr>
    </w:p>
    <w:p w14:paraId="27A45CA9">
      <w:pPr>
        <w:widowControl/>
        <w:wordWrap/>
        <w:snapToGrid w:val="0"/>
        <w:spacing w:before="157" w:beforeLines="50" w:line="560" w:lineRule="exact"/>
        <w:outlineLvl w:val="9"/>
        <w:rPr>
          <w:rFonts w:hint="eastAsia" w:ascii="宋体"/>
          <w:b/>
          <w:color w:val="000000"/>
          <w:sz w:val="28"/>
          <w:szCs w:val="28"/>
        </w:rPr>
      </w:pPr>
    </w:p>
    <w:p w14:paraId="0F2DCDDD">
      <w:pPr>
        <w:widowControl/>
        <w:wordWrap/>
        <w:snapToGrid w:val="0"/>
        <w:spacing w:before="157" w:beforeLines="50" w:line="560" w:lineRule="exact"/>
        <w:outlineLvl w:val="1"/>
        <w:rPr>
          <w:rFonts w:hint="eastAsia" w:ascii="宋体" w:hAnsi="宋体"/>
          <w:b/>
          <w:color w:val="000000"/>
          <w:sz w:val="36"/>
          <w:szCs w:val="36"/>
        </w:rPr>
      </w:pPr>
      <w:bookmarkStart w:id="365" w:name="_Toc6033"/>
      <w:bookmarkStart w:id="366" w:name="_Toc10155"/>
      <w:bookmarkStart w:id="367" w:name="_Toc16847"/>
      <w:bookmarkStart w:id="368" w:name="_Toc8368_WPSOffice_Level3"/>
      <w:bookmarkStart w:id="369" w:name="_Toc25242"/>
      <w:bookmarkStart w:id="370" w:name="_Toc19930_WPSOffice_Level3"/>
      <w:r>
        <w:rPr>
          <w:rFonts w:hint="eastAsia" w:ascii="楷体_GB2312" w:hAnsi="楷体_GB2312" w:eastAsia="楷体_GB2312" w:cs="楷体_GB2312"/>
          <w:b/>
          <w:color w:val="000000"/>
          <w:sz w:val="32"/>
          <w:szCs w:val="32"/>
          <w:lang w:eastAsia="zh-CN"/>
        </w:rPr>
        <w:t>附件6：竞标人资格证明文件</w:t>
      </w:r>
      <w:bookmarkEnd w:id="365"/>
      <w:bookmarkEnd w:id="366"/>
      <w:bookmarkEnd w:id="367"/>
      <w:bookmarkEnd w:id="368"/>
      <w:bookmarkEnd w:id="369"/>
      <w:bookmarkEnd w:id="370"/>
    </w:p>
    <w:p w14:paraId="0DEF2E58">
      <w:pPr>
        <w:wordWrap/>
        <w:spacing w:before="157" w:beforeLines="50" w:line="560" w:lineRule="exact"/>
        <w:jc w:val="center"/>
        <w:outlineLvl w:val="9"/>
        <w:rPr>
          <w:rFonts w:hint="eastAsia" w:ascii="宋体" w:hAnsi="宋体"/>
          <w:color w:val="000000"/>
          <w:sz w:val="21"/>
          <w:szCs w:val="21"/>
        </w:rPr>
      </w:pPr>
      <w:bookmarkStart w:id="371" w:name="_Toc9360_WPSOffice_Level3"/>
      <w:bookmarkStart w:id="372" w:name="_Toc23997_WPSOffice_Level3"/>
      <w:r>
        <w:rPr>
          <w:rFonts w:hint="eastAsia" w:ascii="仿宋_GB2312" w:hAnsi="仿宋_GB2312" w:eastAsia="仿宋_GB2312" w:cs="仿宋_GB2312"/>
          <w:b/>
          <w:color w:val="000000"/>
          <w:sz w:val="32"/>
          <w:szCs w:val="32"/>
          <w:lang w:eastAsia="zh-CN"/>
        </w:rPr>
        <w:t>竞标人资格证明文件</w:t>
      </w:r>
      <w:bookmarkEnd w:id="371"/>
      <w:bookmarkEnd w:id="372"/>
    </w:p>
    <w:p w14:paraId="3E689547">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资格证明材料包括：提供有效的营业执照、税务登记证、机构代码证或三证（五证）合一统一社会代码证及其他资格证明文件（扫描或复印件）。</w:t>
      </w:r>
    </w:p>
    <w:p w14:paraId="4ED1417F">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DA0CBA9">
      <w:pPr>
        <w:widowControl w:val="0"/>
        <w:wordWrap/>
        <w:adjustRightInd/>
        <w:snapToGrid/>
        <w:spacing w:line="560" w:lineRule="exact"/>
        <w:ind w:firstLine="640" w:firstLineChars="200"/>
        <w:textAlignment w:val="auto"/>
        <w:outlineLvl w:val="2"/>
        <w:rPr>
          <w:rFonts w:hint="eastAsia" w:ascii="仿宋_GB2312" w:hAnsi="仿宋_GB2312" w:eastAsia="仿宋_GB2312" w:cs="仿宋_GB2312"/>
          <w:color w:val="000000"/>
          <w:sz w:val="32"/>
          <w:szCs w:val="32"/>
        </w:rPr>
      </w:pPr>
      <w:bookmarkStart w:id="373" w:name="_Toc8549"/>
      <w:r>
        <w:rPr>
          <w:rFonts w:hint="eastAsia" w:ascii="仿宋_GB2312" w:hAnsi="仿宋_GB2312" w:eastAsia="仿宋_GB2312" w:cs="仿宋_GB2312"/>
          <w:color w:val="000000"/>
          <w:sz w:val="32"/>
          <w:szCs w:val="32"/>
        </w:rPr>
        <w:t>2、根据项目内容，提供</w:t>
      </w:r>
      <w:r>
        <w:rPr>
          <w:rFonts w:hint="eastAsia" w:ascii="仿宋_GB2312" w:hAnsi="仿宋_GB2312" w:eastAsia="仿宋_GB2312" w:cs="仿宋_GB2312"/>
          <w:color w:val="000000"/>
          <w:sz w:val="32"/>
          <w:szCs w:val="32"/>
          <w:lang w:eastAsia="zh-CN"/>
        </w:rPr>
        <w:t>竞标人</w:t>
      </w:r>
      <w:r>
        <w:rPr>
          <w:rFonts w:hint="eastAsia" w:ascii="仿宋_GB2312" w:hAnsi="仿宋_GB2312" w:eastAsia="仿宋_GB2312" w:cs="仿宋_GB2312"/>
          <w:color w:val="000000"/>
          <w:sz w:val="32"/>
          <w:szCs w:val="32"/>
        </w:rPr>
        <w:t>的相关资质证书、许可证等。</w:t>
      </w:r>
      <w:bookmarkEnd w:id="373"/>
    </w:p>
    <w:p w14:paraId="4C23790A">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p>
    <w:p w14:paraId="0CBC5323">
      <w:pPr>
        <w:widowControl/>
        <w:wordWrap/>
        <w:snapToGrid w:val="0"/>
        <w:spacing w:before="157" w:beforeLines="50" w:line="560" w:lineRule="exact"/>
        <w:outlineLvl w:val="9"/>
        <w:rPr>
          <w:rFonts w:hint="eastAsia" w:ascii="宋体"/>
          <w:b/>
          <w:color w:val="000000"/>
          <w:sz w:val="28"/>
          <w:szCs w:val="28"/>
        </w:rPr>
      </w:pPr>
    </w:p>
    <w:p w14:paraId="518C340E">
      <w:pPr>
        <w:widowControl/>
        <w:wordWrap/>
        <w:snapToGrid w:val="0"/>
        <w:spacing w:before="157" w:beforeLines="50" w:line="560" w:lineRule="exact"/>
        <w:outlineLvl w:val="9"/>
        <w:rPr>
          <w:rFonts w:hint="eastAsia" w:ascii="宋体"/>
          <w:b/>
          <w:color w:val="000000"/>
          <w:sz w:val="28"/>
          <w:szCs w:val="28"/>
        </w:rPr>
      </w:pPr>
    </w:p>
    <w:p w14:paraId="20634B14">
      <w:pPr>
        <w:widowControl/>
        <w:wordWrap/>
        <w:snapToGrid w:val="0"/>
        <w:spacing w:before="157" w:beforeLines="50" w:line="560" w:lineRule="exact"/>
        <w:outlineLvl w:val="9"/>
        <w:rPr>
          <w:rFonts w:hint="eastAsia" w:ascii="宋体"/>
          <w:b/>
          <w:color w:val="000000"/>
          <w:sz w:val="28"/>
          <w:szCs w:val="28"/>
        </w:rPr>
      </w:pPr>
    </w:p>
    <w:p w14:paraId="168CAFA9">
      <w:pPr>
        <w:widowControl/>
        <w:wordWrap/>
        <w:snapToGrid w:val="0"/>
        <w:spacing w:before="157" w:beforeLines="50" w:line="560" w:lineRule="exact"/>
        <w:outlineLvl w:val="3"/>
        <w:rPr>
          <w:rFonts w:hint="default" w:ascii="宋体" w:hAnsi="宋体"/>
          <w:b/>
          <w:color w:val="000000"/>
          <w:sz w:val="36"/>
          <w:szCs w:val="36"/>
          <w:lang w:val="en-US"/>
        </w:rPr>
      </w:pPr>
      <w:bookmarkStart w:id="374" w:name="_Toc7499_WPSOffice_Level3"/>
      <w:bookmarkStart w:id="375" w:name="_Toc6573"/>
      <w:bookmarkStart w:id="376" w:name="_Toc5898"/>
      <w:bookmarkStart w:id="377" w:name="_Toc12925"/>
      <w:bookmarkStart w:id="378" w:name="_Toc29082_WPSOffice_Level3"/>
      <w:r>
        <w:rPr>
          <w:rFonts w:hint="eastAsia" w:ascii="楷体_GB2312" w:hAnsi="楷体_GB2312" w:eastAsia="楷体_GB2312" w:cs="楷体_GB2312"/>
          <w:b/>
          <w:color w:val="000000"/>
          <w:sz w:val="32"/>
          <w:szCs w:val="32"/>
          <w:lang w:eastAsia="zh-CN"/>
        </w:rPr>
        <w:t>附件7：财务</w:t>
      </w:r>
      <w:bookmarkEnd w:id="374"/>
      <w:bookmarkEnd w:id="375"/>
      <w:bookmarkEnd w:id="376"/>
      <w:bookmarkEnd w:id="377"/>
      <w:bookmarkEnd w:id="378"/>
      <w:r>
        <w:rPr>
          <w:rFonts w:hint="eastAsia" w:ascii="楷体_GB2312" w:hAnsi="楷体_GB2312" w:eastAsia="楷体_GB2312" w:cs="楷体_GB2312"/>
          <w:b/>
          <w:color w:val="000000"/>
          <w:sz w:val="32"/>
          <w:szCs w:val="32"/>
          <w:lang w:val="en-US" w:eastAsia="zh-CN"/>
        </w:rPr>
        <w:t>审计报告</w:t>
      </w:r>
    </w:p>
    <w:p w14:paraId="62FCC77D">
      <w:pPr>
        <w:wordWrap/>
        <w:autoSpaceDE w:val="0"/>
        <w:autoSpaceDN w:val="0"/>
        <w:adjustRightInd/>
        <w:spacing w:line="560" w:lineRule="exact"/>
        <w:ind w:firstLine="48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z w:val="32"/>
          <w:szCs w:val="32"/>
          <w:lang w:eastAsia="zh-CN"/>
        </w:rPr>
        <w:t>竞标人</w:t>
      </w:r>
      <w:r>
        <w:rPr>
          <w:rFonts w:hint="eastAsia" w:ascii="仿宋_GB2312" w:hAnsi="仿宋_GB2312" w:eastAsia="仿宋_GB2312" w:cs="仿宋_GB2312"/>
          <w:color w:val="000000"/>
          <w:sz w:val="32"/>
          <w:szCs w:val="32"/>
        </w:rPr>
        <w:t>提供</w:t>
      </w:r>
      <w:r>
        <w:rPr>
          <w:rFonts w:hint="eastAsia" w:ascii="仿宋_GB2312" w:hAnsi="仿宋_GB2312" w:eastAsia="仿宋_GB2312" w:cs="仿宋_GB2312"/>
          <w:color w:val="000000"/>
          <w:sz w:val="32"/>
          <w:szCs w:val="32"/>
          <w:lang w:val="en-US" w:eastAsia="zh-CN"/>
        </w:rPr>
        <w:t>上一年度</w:t>
      </w: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val="en-US" w:eastAsia="zh-CN"/>
        </w:rPr>
        <w:t>第三方</w:t>
      </w:r>
      <w:r>
        <w:rPr>
          <w:rFonts w:hint="eastAsia" w:ascii="仿宋_GB2312" w:hAnsi="仿宋_GB2312" w:eastAsia="仿宋_GB2312" w:cs="仿宋_GB2312"/>
          <w:color w:val="000000"/>
          <w:sz w:val="32"/>
          <w:szCs w:val="32"/>
        </w:rPr>
        <w:t>审计</w:t>
      </w:r>
      <w:r>
        <w:rPr>
          <w:rFonts w:hint="eastAsia" w:ascii="仿宋_GB2312" w:hAnsi="仿宋_GB2312" w:eastAsia="仿宋_GB2312" w:cs="仿宋_GB2312"/>
          <w:color w:val="000000"/>
          <w:sz w:val="32"/>
          <w:szCs w:val="32"/>
          <w:lang w:val="en-US" w:eastAsia="zh-CN"/>
        </w:rPr>
        <w:t>单位出具</w:t>
      </w:r>
      <w:r>
        <w:rPr>
          <w:rFonts w:hint="eastAsia" w:ascii="仿宋_GB2312" w:hAnsi="仿宋_GB2312" w:eastAsia="仿宋_GB2312" w:cs="仿宋_GB2312"/>
          <w:color w:val="000000"/>
          <w:sz w:val="32"/>
          <w:szCs w:val="32"/>
        </w:rPr>
        <w:t>的财务</w:t>
      </w:r>
      <w:r>
        <w:rPr>
          <w:rFonts w:hint="eastAsia" w:ascii="仿宋_GB2312" w:hAnsi="仿宋_GB2312" w:eastAsia="仿宋_GB2312" w:cs="仿宋_GB2312"/>
          <w:color w:val="000000"/>
          <w:sz w:val="32"/>
          <w:szCs w:val="32"/>
          <w:lang w:val="en-US" w:eastAsia="zh-CN"/>
        </w:rPr>
        <w:t>审计</w:t>
      </w:r>
      <w:r>
        <w:rPr>
          <w:rFonts w:hint="eastAsia" w:ascii="仿宋_GB2312" w:hAnsi="仿宋_GB2312" w:eastAsia="仿宋_GB2312" w:cs="仿宋_GB2312"/>
          <w:color w:val="000000"/>
          <w:sz w:val="32"/>
          <w:szCs w:val="32"/>
        </w:rPr>
        <w:t>报告，包括资产负债表、利润表、现金流量表及其附注</w:t>
      </w:r>
      <w:r>
        <w:rPr>
          <w:rFonts w:hint="eastAsia" w:ascii="仿宋_GB2312" w:hAnsi="仿宋_GB2312" w:eastAsia="仿宋_GB2312" w:cs="仿宋_GB2312"/>
          <w:sz w:val="32"/>
          <w:szCs w:val="32"/>
        </w:rPr>
        <w:t>。</w:t>
      </w:r>
    </w:p>
    <w:p w14:paraId="368E79AB">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p>
    <w:p w14:paraId="59DE26F4">
      <w:pPr>
        <w:widowControl/>
        <w:wordWrap/>
        <w:adjustRightInd/>
        <w:snapToGrid w:val="0"/>
        <w:spacing w:line="560" w:lineRule="exact"/>
        <w:textAlignment w:val="auto"/>
        <w:outlineLvl w:val="9"/>
        <w:rPr>
          <w:rFonts w:hint="eastAsia" w:ascii="仿宋_GB2312" w:hAnsi="仿宋_GB2312" w:eastAsia="仿宋_GB2312" w:cs="仿宋_GB2312"/>
          <w:color w:val="000000"/>
          <w:sz w:val="32"/>
          <w:szCs w:val="32"/>
        </w:rPr>
      </w:pPr>
    </w:p>
    <w:p w14:paraId="37516EEC">
      <w:pPr>
        <w:widowControl/>
        <w:wordWrap/>
        <w:snapToGrid w:val="0"/>
        <w:spacing w:before="157" w:beforeLines="50" w:line="560" w:lineRule="exact"/>
        <w:outlineLvl w:val="9"/>
        <w:rPr>
          <w:rFonts w:hint="eastAsia" w:ascii="宋体" w:hAnsi="宋体"/>
          <w:color w:val="000000"/>
          <w:sz w:val="21"/>
          <w:szCs w:val="21"/>
        </w:rPr>
      </w:pPr>
    </w:p>
    <w:p w14:paraId="28ED8849">
      <w:pPr>
        <w:tabs>
          <w:tab w:val="left" w:pos="168"/>
        </w:tabs>
        <w:wordWrap/>
        <w:adjustRightInd w:val="0"/>
        <w:spacing w:before="157" w:beforeLines="50" w:line="560" w:lineRule="exact"/>
        <w:ind w:firstLine="480" w:firstLineChars="200"/>
        <w:textAlignment w:val="baseline"/>
        <w:rPr>
          <w:rFonts w:hint="eastAsia" w:ascii="宋体" w:hAnsi="宋体"/>
          <w:color w:val="000000"/>
          <w:sz w:val="24"/>
        </w:rPr>
      </w:pPr>
    </w:p>
    <w:p w14:paraId="42C7D455">
      <w:pPr>
        <w:widowControl/>
        <w:wordWrap/>
        <w:snapToGrid w:val="0"/>
        <w:spacing w:before="157" w:beforeLines="50" w:line="560" w:lineRule="exact"/>
        <w:outlineLvl w:val="9"/>
        <w:rPr>
          <w:rFonts w:hint="eastAsia" w:ascii="宋体" w:hAnsi="宋体"/>
          <w:b/>
          <w:color w:val="000000"/>
          <w:sz w:val="24"/>
        </w:rPr>
      </w:pPr>
    </w:p>
    <w:p w14:paraId="429D56C4">
      <w:pPr>
        <w:wordWrap/>
        <w:spacing w:before="157" w:beforeLines="50" w:line="560" w:lineRule="exact"/>
        <w:rPr>
          <w:rFonts w:hint="eastAsia" w:ascii="宋体" w:hAnsi="宋体"/>
          <w:b/>
          <w:bCs/>
          <w:color w:val="000000"/>
          <w:sz w:val="28"/>
          <w:szCs w:val="28"/>
        </w:rPr>
      </w:pPr>
    </w:p>
    <w:p w14:paraId="72227986">
      <w:pPr>
        <w:wordWrap/>
        <w:spacing w:before="157" w:beforeLines="50" w:line="560" w:lineRule="exact"/>
        <w:rPr>
          <w:rFonts w:hint="eastAsia" w:ascii="宋体" w:hAnsi="宋体"/>
          <w:b/>
          <w:bCs/>
          <w:color w:val="000000"/>
          <w:sz w:val="28"/>
          <w:szCs w:val="28"/>
        </w:rPr>
      </w:pPr>
    </w:p>
    <w:p w14:paraId="0F08F277">
      <w:pPr>
        <w:wordWrap/>
        <w:spacing w:before="157" w:beforeLines="50" w:line="560" w:lineRule="exact"/>
        <w:rPr>
          <w:rFonts w:hint="eastAsia" w:ascii="宋体" w:hAnsi="宋体"/>
          <w:b/>
          <w:bCs/>
          <w:color w:val="000000"/>
          <w:sz w:val="28"/>
          <w:szCs w:val="28"/>
        </w:rPr>
      </w:pPr>
    </w:p>
    <w:p w14:paraId="21834B05">
      <w:pPr>
        <w:wordWrap/>
        <w:spacing w:before="157" w:beforeLines="50" w:line="560" w:lineRule="exact"/>
        <w:rPr>
          <w:rFonts w:hint="eastAsia" w:ascii="宋体" w:hAnsi="宋体"/>
          <w:b/>
          <w:bCs/>
          <w:color w:val="000000"/>
          <w:sz w:val="28"/>
          <w:szCs w:val="28"/>
        </w:rPr>
      </w:pPr>
    </w:p>
    <w:p w14:paraId="20599B6A">
      <w:pPr>
        <w:wordWrap/>
        <w:spacing w:before="157" w:beforeLines="50" w:line="560" w:lineRule="exact"/>
        <w:rPr>
          <w:rFonts w:hint="eastAsia" w:ascii="宋体" w:hAnsi="宋体"/>
          <w:b/>
          <w:bCs/>
          <w:color w:val="000000"/>
          <w:sz w:val="28"/>
          <w:szCs w:val="28"/>
        </w:rPr>
      </w:pPr>
    </w:p>
    <w:p w14:paraId="11F2FED7">
      <w:pPr>
        <w:wordWrap/>
        <w:spacing w:before="157" w:beforeLines="50" w:line="560" w:lineRule="exact"/>
        <w:rPr>
          <w:rFonts w:hint="eastAsia" w:ascii="宋体" w:hAnsi="宋体"/>
          <w:b/>
          <w:bCs/>
          <w:color w:val="000000"/>
          <w:sz w:val="28"/>
          <w:szCs w:val="28"/>
        </w:rPr>
      </w:pPr>
    </w:p>
    <w:p w14:paraId="65E1EBCA">
      <w:pPr>
        <w:wordWrap/>
        <w:spacing w:before="157" w:beforeLines="50" w:line="560" w:lineRule="exact"/>
        <w:rPr>
          <w:rFonts w:hint="eastAsia" w:ascii="宋体" w:hAnsi="宋体"/>
          <w:b/>
          <w:bCs/>
          <w:color w:val="000000"/>
          <w:sz w:val="28"/>
          <w:szCs w:val="28"/>
        </w:rPr>
      </w:pPr>
    </w:p>
    <w:p w14:paraId="3D3E19C4">
      <w:pPr>
        <w:wordWrap/>
        <w:spacing w:before="157" w:beforeLines="50" w:line="560" w:lineRule="exact"/>
        <w:rPr>
          <w:rFonts w:hint="eastAsia" w:ascii="宋体" w:hAnsi="宋体"/>
          <w:b/>
          <w:bCs/>
          <w:color w:val="000000"/>
          <w:sz w:val="28"/>
          <w:szCs w:val="28"/>
        </w:rPr>
      </w:pPr>
    </w:p>
    <w:p w14:paraId="2891D8A9">
      <w:pPr>
        <w:wordWrap/>
        <w:spacing w:before="157" w:beforeLines="50" w:line="560" w:lineRule="exact"/>
        <w:rPr>
          <w:rFonts w:hint="eastAsia" w:ascii="宋体" w:hAnsi="宋体"/>
          <w:b/>
          <w:bCs/>
          <w:color w:val="000000"/>
          <w:sz w:val="28"/>
          <w:szCs w:val="28"/>
        </w:rPr>
      </w:pPr>
    </w:p>
    <w:p w14:paraId="351EADFD">
      <w:pPr>
        <w:wordWrap/>
        <w:spacing w:before="157" w:beforeLines="50" w:line="560" w:lineRule="exact"/>
        <w:rPr>
          <w:rFonts w:hint="eastAsia" w:ascii="宋体" w:hAnsi="宋体"/>
          <w:b/>
          <w:bCs/>
          <w:color w:val="000000"/>
          <w:sz w:val="28"/>
          <w:szCs w:val="28"/>
        </w:rPr>
      </w:pPr>
    </w:p>
    <w:p w14:paraId="5F6A1431">
      <w:pPr>
        <w:wordWrap/>
        <w:spacing w:before="157" w:beforeLines="50" w:line="560" w:lineRule="exact"/>
        <w:outlineLvl w:val="9"/>
        <w:rPr>
          <w:rFonts w:hint="eastAsia" w:ascii="宋体" w:hAnsi="宋体"/>
          <w:b/>
          <w:bCs/>
          <w:color w:val="000000"/>
          <w:sz w:val="28"/>
          <w:szCs w:val="28"/>
        </w:rPr>
      </w:pPr>
    </w:p>
    <w:p w14:paraId="0122193A">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379" w:name="_Toc21984"/>
      <w:bookmarkStart w:id="380" w:name="_Toc17387_WPSOffice_Level3"/>
      <w:bookmarkStart w:id="381" w:name="_Toc11091"/>
      <w:bookmarkStart w:id="382" w:name="_Toc16098"/>
      <w:bookmarkStart w:id="383" w:name="_Toc22959_WPSOffice_Level3"/>
      <w:bookmarkStart w:id="384" w:name="_Toc13266"/>
      <w:r>
        <w:rPr>
          <w:rFonts w:hint="eastAsia" w:ascii="楷体_GB2312" w:hAnsi="楷体_GB2312" w:eastAsia="楷体_GB2312" w:cs="楷体_GB2312"/>
          <w:b/>
          <w:color w:val="000000"/>
          <w:sz w:val="32"/>
          <w:szCs w:val="32"/>
          <w:lang w:eastAsia="zh-CN"/>
        </w:rPr>
        <w:t>附件8：</w:t>
      </w:r>
      <w:bookmarkEnd w:id="379"/>
      <w:r>
        <w:rPr>
          <w:rFonts w:hint="eastAsia" w:ascii="楷体_GB2312" w:hAnsi="楷体_GB2312" w:eastAsia="楷体_GB2312" w:cs="楷体_GB2312"/>
          <w:b/>
          <w:color w:val="000000"/>
          <w:sz w:val="32"/>
          <w:szCs w:val="32"/>
          <w:lang w:eastAsia="zh-CN"/>
        </w:rPr>
        <w:t>无重大违法记录声明</w:t>
      </w:r>
      <w:bookmarkEnd w:id="380"/>
      <w:bookmarkEnd w:id="381"/>
      <w:bookmarkEnd w:id="382"/>
    </w:p>
    <w:p w14:paraId="4984BD0D">
      <w:pPr>
        <w:wordWrap/>
        <w:spacing w:before="157" w:beforeLines="50" w:line="560" w:lineRule="exact"/>
        <w:jc w:val="center"/>
        <w:outlineLvl w:val="9"/>
        <w:rPr>
          <w:rFonts w:hint="eastAsia" w:ascii="宋体" w:hAnsi="宋体" w:cs="宋体"/>
          <w:b/>
          <w:bCs/>
          <w:color w:val="000000"/>
          <w:sz w:val="28"/>
          <w:szCs w:val="28"/>
        </w:rPr>
      </w:pPr>
      <w:bookmarkStart w:id="385" w:name="_Toc25610_WPSOffice_Level3"/>
      <w:r>
        <w:rPr>
          <w:rFonts w:hint="eastAsia" w:ascii="仿宋_GB2312" w:hAnsi="仿宋_GB2312" w:eastAsia="仿宋_GB2312" w:cs="仿宋_GB2312"/>
          <w:b/>
          <w:color w:val="000000"/>
          <w:sz w:val="32"/>
          <w:szCs w:val="32"/>
          <w:lang w:val="zh-CN" w:eastAsia="zh-CN"/>
        </w:rPr>
        <w:t>无重大违法记录声明</w:t>
      </w:r>
      <w:bookmarkEnd w:id="385"/>
    </w:p>
    <w:p w14:paraId="6A0F9DB4">
      <w:pPr>
        <w:widowControl w:val="0"/>
        <w:wordWrap/>
        <w:adjustRightInd/>
        <w:snapToGrid/>
        <w:spacing w:line="560" w:lineRule="exact"/>
        <w:textAlignment w:val="auto"/>
        <w:outlineLvl w:val="9"/>
        <w:rPr>
          <w:rFonts w:hint="default" w:ascii="仿宋_GB2312" w:hAnsi="仿宋_GB2312" w:eastAsia="仿宋_GB2312" w:cs="仿宋_GB2312"/>
          <w:b/>
          <w:bCs/>
          <w:color w:val="000000"/>
          <w:sz w:val="32"/>
          <w:szCs w:val="32"/>
          <w:u w:val="single"/>
          <w:lang w:val="en-US" w:eastAsia="zh-CN"/>
        </w:rPr>
      </w:pPr>
      <w:r>
        <w:rPr>
          <w:rFonts w:hint="eastAsia" w:ascii="宋体" w:hAnsi="宋体" w:cs="宋体"/>
          <w:b/>
          <w:bCs/>
          <w:color w:val="000000"/>
          <w:kern w:val="0"/>
          <w:lang w:val="en-US" w:eastAsia="zh-CN"/>
        </w:rPr>
        <w:t xml:space="preserve">  </w:t>
      </w: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val="en-US" w:eastAsia="zh-CN"/>
        </w:rPr>
        <w:t xml:space="preserve">              </w:t>
      </w:r>
    </w:p>
    <w:p w14:paraId="32971F82">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我单位参加本次</w:t>
      </w:r>
      <w:r>
        <w:rPr>
          <w:rFonts w:hint="eastAsia" w:ascii="仿宋_GB2312" w:hAnsi="仿宋_GB2312" w:eastAsia="仿宋_GB2312" w:cs="仿宋_GB2312"/>
          <w:color w:val="000000"/>
          <w:sz w:val="32"/>
          <w:szCs w:val="32"/>
          <w:lang w:val="en-US" w:eastAsia="zh-CN"/>
        </w:rPr>
        <w:t>谈判</w:t>
      </w:r>
      <w:r>
        <w:rPr>
          <w:rFonts w:hint="eastAsia" w:ascii="仿宋_GB2312" w:hAnsi="仿宋_GB2312" w:eastAsia="仿宋_GB2312" w:cs="仿宋_GB2312"/>
          <w:color w:val="000000"/>
          <w:sz w:val="32"/>
          <w:szCs w:val="32"/>
        </w:rPr>
        <w:t>项目活动前三年内，在经营活动中无重大违法活动记录，符合《</w:t>
      </w:r>
      <w:r>
        <w:rPr>
          <w:rFonts w:hint="eastAsia" w:ascii="仿宋_GB2312" w:hAnsi="仿宋_GB2312" w:eastAsia="仿宋_GB2312" w:cs="仿宋_GB2312"/>
          <w:color w:val="000000"/>
          <w:sz w:val="32"/>
          <w:szCs w:val="32"/>
          <w:lang w:val="en-US" w:eastAsia="zh-CN"/>
        </w:rPr>
        <w:t>招投标</w:t>
      </w:r>
      <w:r>
        <w:rPr>
          <w:rFonts w:hint="eastAsia" w:ascii="仿宋_GB2312" w:hAnsi="仿宋_GB2312" w:eastAsia="仿宋_GB2312" w:cs="仿宋_GB2312"/>
          <w:color w:val="000000"/>
          <w:sz w:val="32"/>
          <w:szCs w:val="32"/>
        </w:rPr>
        <w:t>法》规定的</w:t>
      </w:r>
      <w:r>
        <w:rPr>
          <w:rFonts w:hint="eastAsia" w:ascii="仿宋_GB2312" w:hAnsi="仿宋_GB2312" w:eastAsia="仿宋_GB2312" w:cs="仿宋_GB2312"/>
          <w:color w:val="000000"/>
          <w:sz w:val="32"/>
          <w:szCs w:val="32"/>
          <w:lang w:eastAsia="zh-CN"/>
        </w:rPr>
        <w:t>竞标人</w:t>
      </w:r>
      <w:r>
        <w:rPr>
          <w:rFonts w:hint="eastAsia" w:ascii="仿宋_GB2312" w:hAnsi="仿宋_GB2312" w:eastAsia="仿宋_GB2312" w:cs="仿宋_GB2312"/>
          <w:color w:val="000000"/>
          <w:sz w:val="32"/>
          <w:szCs w:val="32"/>
        </w:rPr>
        <w:t>资格条</w:t>
      </w:r>
      <w:r>
        <w:rPr>
          <w:rFonts w:hint="eastAsia" w:ascii="仿宋_GB2312" w:hAnsi="仿宋_GB2312" w:eastAsia="仿宋_GB2312" w:cs="仿宋_GB2312"/>
          <w:color w:val="000000"/>
          <w:sz w:val="32"/>
          <w:szCs w:val="32"/>
          <w:shd w:val="clear" w:color="auto" w:fill="FFFFFF"/>
        </w:rPr>
        <w:t>件。我方对此声明负全部法律责任。</w:t>
      </w:r>
    </w:p>
    <w:p w14:paraId="37C941B4">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14:paraId="2B38A6EC">
      <w:pPr>
        <w:widowControl w:val="0"/>
        <w:wordWrap/>
        <w:autoSpaceDE w:val="0"/>
        <w:autoSpaceDN w:val="0"/>
        <w:adjustRightInd/>
        <w:snapToGrid/>
        <w:spacing w:line="560" w:lineRule="exact"/>
        <w:jc w:val="left"/>
        <w:textAlignment w:val="auto"/>
        <w:outlineLvl w:val="9"/>
        <w:rPr>
          <w:rFonts w:hint="eastAsia" w:ascii="仿宋_GB2312" w:hAnsi="仿宋_GB2312" w:eastAsia="仿宋_GB2312" w:cs="仿宋_GB2312"/>
          <w:color w:val="000000"/>
          <w:kern w:val="0"/>
          <w:sz w:val="32"/>
          <w:szCs w:val="32"/>
          <w:lang w:val="zh-CN"/>
        </w:rPr>
      </w:pPr>
    </w:p>
    <w:p w14:paraId="63838B95">
      <w:pPr>
        <w:widowControl w:val="0"/>
        <w:wordWrap/>
        <w:autoSpaceDE w:val="0"/>
        <w:autoSpaceDN w:val="0"/>
        <w:adjustRightInd/>
        <w:snapToGrid/>
        <w:spacing w:line="560" w:lineRule="exact"/>
        <w:ind w:firstLine="640" w:firstLineChars="200"/>
        <w:jc w:val="left"/>
        <w:textAlignment w:val="auto"/>
        <w:outlineLvl w:val="9"/>
        <w:rPr>
          <w:rFonts w:hint="eastAsia" w:ascii="宋体" w:hAnsi="宋体" w:cs="宋体"/>
          <w:color w:val="000000"/>
          <w:kern w:val="0"/>
        </w:rPr>
      </w:pPr>
      <w:r>
        <w:rPr>
          <w:rFonts w:hint="eastAsia" w:ascii="仿宋_GB2312" w:hAnsi="仿宋_GB2312" w:eastAsia="仿宋_GB2312" w:cs="仿宋_GB2312"/>
          <w:color w:val="000000"/>
          <w:kern w:val="0"/>
          <w:sz w:val="32"/>
          <w:szCs w:val="32"/>
        </w:rPr>
        <w:t>附“信用中国”网站“下载信用信息”栏中的信用信息，时间为</w:t>
      </w:r>
      <w:r>
        <w:rPr>
          <w:rFonts w:hint="eastAsia" w:ascii="仿宋_GB2312" w:hAnsi="仿宋_GB2312" w:eastAsia="仿宋_GB2312" w:cs="仿宋_GB2312"/>
          <w:color w:val="000000"/>
          <w:kern w:val="0"/>
          <w:sz w:val="32"/>
          <w:szCs w:val="32"/>
          <w:lang w:eastAsia="zh-CN"/>
        </w:rPr>
        <w:t>谈判文件响应</w:t>
      </w:r>
      <w:r>
        <w:rPr>
          <w:rFonts w:hint="eastAsia" w:ascii="仿宋_GB2312" w:hAnsi="仿宋_GB2312" w:eastAsia="仿宋_GB2312" w:cs="仿宋_GB2312"/>
          <w:color w:val="000000"/>
          <w:kern w:val="0"/>
          <w:sz w:val="32"/>
          <w:szCs w:val="32"/>
        </w:rPr>
        <w:t>截止时间前20天内</w:t>
      </w:r>
      <w:r>
        <w:rPr>
          <w:rFonts w:hint="eastAsia" w:ascii="仿宋_GB2312" w:hAnsi="仿宋_GB2312" w:eastAsia="仿宋_GB2312" w:cs="仿宋_GB2312"/>
          <w:color w:val="000000"/>
          <w:sz w:val="32"/>
          <w:szCs w:val="32"/>
        </w:rPr>
        <w:t>。</w:t>
      </w:r>
    </w:p>
    <w:p w14:paraId="480CC956">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p>
    <w:p w14:paraId="3915718C">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p>
    <w:p w14:paraId="08E95652">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386" w:name="_Toc2160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86"/>
    </w:p>
    <w:p w14:paraId="1543EEEE">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87" w:name="_Toc14292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87"/>
    </w:p>
    <w:p w14:paraId="0721EBEA">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388" w:name="_Toc15350_WPSOffice_Level3"/>
      <w:r>
        <w:rPr>
          <w:rFonts w:hint="eastAsia" w:ascii="仿宋_GB2312" w:hAnsi="仿宋_GB2312" w:eastAsia="仿宋_GB2312" w:cs="仿宋_GB2312"/>
          <w:b w:val="0"/>
          <w:bCs/>
          <w:color w:val="000000"/>
          <w:sz w:val="32"/>
          <w:szCs w:val="32"/>
        </w:rPr>
        <w:t>年   月  日</w:t>
      </w:r>
      <w:bookmarkEnd w:id="388"/>
    </w:p>
    <w:p w14:paraId="76C93CEA">
      <w:pPr>
        <w:widowControl w:val="0"/>
        <w:wordWrap/>
        <w:adjustRightInd/>
        <w:snapToGrid/>
        <w:spacing w:before="157" w:beforeLines="50" w:line="560" w:lineRule="exact"/>
        <w:ind w:firstLine="602" w:firstLineChars="200"/>
        <w:jc w:val="both"/>
        <w:textAlignment w:val="auto"/>
        <w:outlineLvl w:val="9"/>
        <w:rPr>
          <w:rFonts w:hint="eastAsia" w:ascii="宋体"/>
          <w:b/>
          <w:color w:val="000000"/>
          <w:sz w:val="28"/>
          <w:szCs w:val="28"/>
        </w:rPr>
      </w:pPr>
      <w:r>
        <w:rPr>
          <w:rFonts w:hint="eastAsia" w:ascii="仿宋_GB2312" w:hAnsi="仿宋_GB2312" w:eastAsia="仿宋_GB2312" w:cs="仿宋_GB2312"/>
          <w:b/>
          <w:color w:val="000000"/>
          <w:sz w:val="30"/>
          <w:szCs w:val="30"/>
          <w:lang w:eastAsia="zh-CN"/>
        </w:rPr>
        <w:br w:type="page"/>
      </w:r>
      <w:bookmarkEnd w:id="383"/>
      <w:bookmarkEnd w:id="384"/>
    </w:p>
    <w:p w14:paraId="13BA2FB5">
      <w:pPr>
        <w:widowControl/>
        <w:wordWrap/>
        <w:snapToGrid w:val="0"/>
        <w:spacing w:before="157" w:beforeLines="50" w:line="560" w:lineRule="exact"/>
        <w:outlineLvl w:val="1"/>
        <w:rPr>
          <w:rFonts w:hint="eastAsia" w:ascii="宋体"/>
          <w:b/>
          <w:color w:val="000000"/>
          <w:sz w:val="36"/>
          <w:szCs w:val="36"/>
        </w:rPr>
      </w:pPr>
      <w:bookmarkStart w:id="389" w:name="_Toc3360"/>
      <w:bookmarkStart w:id="390" w:name="_Toc18715"/>
      <w:bookmarkStart w:id="391" w:name="_Toc27563"/>
      <w:bookmarkStart w:id="392" w:name="_Toc2646_WPSOffice_Level3"/>
      <w:bookmarkStart w:id="393" w:name="_Toc13416_WPSOffice_Level3"/>
      <w:bookmarkStart w:id="394" w:name="_Toc28116"/>
      <w:r>
        <w:rPr>
          <w:rFonts w:hint="eastAsia" w:ascii="楷体_GB2312" w:hAnsi="楷体_GB2312" w:eastAsia="楷体_GB2312" w:cs="楷体_GB2312"/>
          <w:b/>
          <w:bCs w:val="0"/>
          <w:color w:val="000000"/>
          <w:kern w:val="2"/>
          <w:sz w:val="32"/>
          <w:szCs w:val="32"/>
          <w:lang w:val="en-US" w:eastAsia="zh-CN" w:bidi="ar-SA"/>
        </w:rPr>
        <w:t>附件9：谈判首次报价表</w:t>
      </w:r>
      <w:bookmarkEnd w:id="389"/>
      <w:bookmarkEnd w:id="390"/>
      <w:bookmarkEnd w:id="391"/>
      <w:bookmarkEnd w:id="392"/>
      <w:bookmarkEnd w:id="393"/>
      <w:bookmarkEnd w:id="394"/>
    </w:p>
    <w:p w14:paraId="40C159D0">
      <w:pPr>
        <w:wordWrap/>
        <w:spacing w:before="157" w:beforeLines="50" w:line="560" w:lineRule="exact"/>
        <w:jc w:val="center"/>
        <w:outlineLvl w:val="9"/>
        <w:rPr>
          <w:rFonts w:hint="eastAsia" w:ascii="宋体" w:hAnsi="宋体"/>
          <w:b/>
          <w:color w:val="000000"/>
          <w:sz w:val="36"/>
          <w:szCs w:val="36"/>
        </w:rPr>
      </w:pPr>
      <w:bookmarkStart w:id="395" w:name="_Toc8724_WPSOffice_Level1"/>
      <w:bookmarkStart w:id="396" w:name="_Toc17322_WPSOffice_Level1"/>
      <w:bookmarkStart w:id="397" w:name="_Toc17115_WPSOffice_Level3"/>
      <w:r>
        <w:rPr>
          <w:rFonts w:hint="eastAsia" w:ascii="仿宋_GB2312" w:hAnsi="仿宋_GB2312" w:eastAsia="仿宋_GB2312" w:cs="仿宋_GB2312"/>
          <w:b/>
          <w:color w:val="000000"/>
          <w:sz w:val="32"/>
          <w:szCs w:val="32"/>
          <w:lang w:val="zh-CN" w:eastAsia="zh-CN"/>
        </w:rPr>
        <w:t>谈判首次报价表</w:t>
      </w:r>
      <w:bookmarkEnd w:id="395"/>
      <w:bookmarkEnd w:id="396"/>
      <w:bookmarkEnd w:id="397"/>
    </w:p>
    <w:p w14:paraId="7817D5F4">
      <w:pPr>
        <w:widowControl w:val="0"/>
        <w:wordWrap/>
        <w:snapToGrid/>
        <w:spacing w:line="560" w:lineRule="exact"/>
        <w:outlineLvl w:val="9"/>
        <w:rPr>
          <w:rFonts w:hint="eastAsia" w:ascii="仿宋_GB2312" w:hAnsi="仿宋_GB2312" w:eastAsia="仿宋_GB2312" w:cs="仿宋_GB2312"/>
          <w:b w:val="0"/>
          <w:bCs/>
          <w:color w:val="000000"/>
          <w:sz w:val="32"/>
          <w:szCs w:val="32"/>
        </w:rPr>
      </w:pPr>
      <w:bookmarkStart w:id="398" w:name="_Toc14507_WPSOffice_Level2"/>
      <w:r>
        <w:rPr>
          <w:rFonts w:hint="eastAsia" w:ascii="仿宋_GB2312" w:hAnsi="仿宋_GB2312" w:eastAsia="仿宋_GB2312" w:cs="仿宋_GB2312"/>
          <w:b w:val="0"/>
          <w:bCs/>
          <w:color w:val="000000"/>
          <w:sz w:val="32"/>
          <w:szCs w:val="32"/>
        </w:rPr>
        <w:t>名称：</w:t>
      </w:r>
      <w:bookmarkEnd w:id="398"/>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p>
    <w:tbl>
      <w:tblPr>
        <w:tblStyle w:val="22"/>
        <w:tblpPr w:leftFromText="180" w:rightFromText="180" w:vertAnchor="text" w:horzAnchor="margin" w:tblpXSpec="left" w:tblpY="147"/>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3675"/>
        <w:gridCol w:w="2175"/>
      </w:tblGrid>
      <w:tr w14:paraId="1719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3275" w:type="dxa"/>
            <w:vAlign w:val="center"/>
          </w:tcPr>
          <w:p w14:paraId="32E8F213">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项目名称</w:t>
            </w:r>
          </w:p>
        </w:tc>
        <w:tc>
          <w:tcPr>
            <w:tcW w:w="3675" w:type="dxa"/>
            <w:vAlign w:val="center"/>
          </w:tcPr>
          <w:p w14:paraId="4E2C0CE7">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首次</w:t>
            </w:r>
            <w:r>
              <w:rPr>
                <w:rFonts w:hint="eastAsia" w:ascii="仿宋_GB2312" w:hAnsi="仿宋_GB2312" w:eastAsia="仿宋_GB2312" w:cs="仿宋_GB2312"/>
                <w:b w:val="0"/>
                <w:bCs/>
                <w:color w:val="000000"/>
                <w:sz w:val="32"/>
                <w:szCs w:val="32"/>
              </w:rPr>
              <w:t>报价</w:t>
            </w:r>
          </w:p>
        </w:tc>
        <w:tc>
          <w:tcPr>
            <w:tcW w:w="2175" w:type="dxa"/>
            <w:vAlign w:val="center"/>
          </w:tcPr>
          <w:p w14:paraId="3C0982E8">
            <w:pPr>
              <w:widowControl w:val="0"/>
              <w:wordWrap/>
              <w:adjustRightInd w:val="0"/>
              <w:snapToGrid/>
              <w:spacing w:line="560" w:lineRule="exact"/>
              <w:ind w:left="354" w:leftChars="16" w:hanging="320" w:hangingChars="100"/>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备注</w:t>
            </w:r>
          </w:p>
        </w:tc>
      </w:tr>
      <w:tr w14:paraId="06FC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275" w:type="dxa"/>
            <w:vMerge w:val="restart"/>
            <w:vAlign w:val="center"/>
          </w:tcPr>
          <w:p w14:paraId="25008C95">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3675" w:type="dxa"/>
            <w:vAlign w:val="top"/>
          </w:tcPr>
          <w:p w14:paraId="562A81BD">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w:t>
            </w:r>
          </w:p>
        </w:tc>
        <w:tc>
          <w:tcPr>
            <w:tcW w:w="2175" w:type="dxa"/>
            <w:vMerge w:val="restart"/>
            <w:vAlign w:val="top"/>
          </w:tcPr>
          <w:p w14:paraId="7428DFAF">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r w14:paraId="1020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275" w:type="dxa"/>
            <w:vMerge w:val="continue"/>
            <w:vAlign w:val="center"/>
          </w:tcPr>
          <w:p w14:paraId="45BDA320">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3675" w:type="dxa"/>
            <w:vAlign w:val="top"/>
          </w:tcPr>
          <w:p w14:paraId="6943DE6D">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小写：</w:t>
            </w:r>
          </w:p>
        </w:tc>
        <w:tc>
          <w:tcPr>
            <w:tcW w:w="2175" w:type="dxa"/>
            <w:vMerge w:val="continue"/>
            <w:vAlign w:val="top"/>
          </w:tcPr>
          <w:p w14:paraId="7202DBB5">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bl>
    <w:p w14:paraId="16FD53C0">
      <w:pPr>
        <w:widowControl w:val="0"/>
        <w:wordWrap/>
        <w:snapToGrid/>
        <w:spacing w:line="560" w:lineRule="exac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14:paraId="336237D7">
      <w:pPr>
        <w:widowControl w:val="0"/>
        <w:wordWrap/>
        <w:snapToGrid/>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、响应文件</w:t>
      </w:r>
      <w:r>
        <w:rPr>
          <w:rFonts w:hint="eastAsia" w:ascii="仿宋_GB2312" w:hAnsi="仿宋_GB2312" w:eastAsia="仿宋_GB2312" w:cs="仿宋_GB2312"/>
          <w:color w:val="000000"/>
          <w:sz w:val="32"/>
          <w:szCs w:val="32"/>
        </w:rPr>
        <w:t>报价为总价。包括</w:t>
      </w:r>
      <w:r>
        <w:rPr>
          <w:rFonts w:hint="eastAsia" w:ascii="仿宋_GB2312" w:hAnsi="仿宋_GB2312" w:eastAsia="仿宋_GB2312" w:cs="仿宋_GB2312"/>
          <w:color w:val="000000"/>
          <w:sz w:val="32"/>
          <w:szCs w:val="32"/>
          <w:u w:val="single"/>
          <w:lang w:val="en-US" w:eastAsia="zh-CN"/>
        </w:rPr>
        <w:t>此项目实施过程中所发生的</w:t>
      </w:r>
      <w:r>
        <w:rPr>
          <w:rFonts w:hint="eastAsia" w:ascii="仿宋_GB2312" w:hAnsi="仿宋_GB2312" w:eastAsia="仿宋_GB2312" w:cs="仿宋_GB2312"/>
          <w:color w:val="000000"/>
          <w:sz w:val="32"/>
          <w:szCs w:val="32"/>
        </w:rPr>
        <w:t>全部费用。</w:t>
      </w:r>
    </w:p>
    <w:p w14:paraId="59FEA25A">
      <w:pPr>
        <w:wordWrap/>
        <w:spacing w:before="157" w:beforeLines="50" w:line="560" w:lineRule="exact"/>
        <w:ind w:firstLine="482" w:firstLineChars="200"/>
        <w:jc w:val="center"/>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bookmarkStart w:id="399" w:name="_Toc27526_WPSOffice_Level3"/>
      <w:r>
        <w:rPr>
          <w:rFonts w:hint="eastAsia" w:ascii="宋体" w:hAnsi="宋体"/>
          <w:b/>
          <w:color w:val="000000"/>
          <w:sz w:val="24"/>
          <w:lang w:val="en-US" w:eastAsia="zh-CN"/>
        </w:rPr>
        <w:t xml:space="preserve"> </w:t>
      </w:r>
      <w:bookmarkStart w:id="400" w:name="_Toc11022_WPSOffice_Level3"/>
      <w:r>
        <w:rPr>
          <w:rFonts w:hint="eastAsia" w:ascii="仿宋_GB2312" w:hAnsi="仿宋_GB2312" w:eastAsia="仿宋_GB2312" w:cs="仿宋_GB2312"/>
          <w:b w:val="0"/>
          <w:bCs/>
          <w:color w:val="000000"/>
          <w:sz w:val="32"/>
          <w:szCs w:val="32"/>
          <w:lang w:eastAsia="zh-CN"/>
        </w:rPr>
        <w:t>单位名称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99"/>
      <w:bookmarkEnd w:id="400"/>
    </w:p>
    <w:p w14:paraId="37A96ADA">
      <w:pPr>
        <w:wordWrap/>
        <w:spacing w:before="157" w:beforeLines="50" w:line="560" w:lineRule="exact"/>
        <w:ind w:firstLine="640" w:firstLineChars="200"/>
        <w:jc w:val="center"/>
        <w:outlineLvl w:val="3"/>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01" w:name="_Toc32417_WPSOffice_Level3"/>
      <w:bookmarkStart w:id="402" w:name="_Toc23931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01"/>
      <w:bookmarkEnd w:id="402"/>
    </w:p>
    <w:p w14:paraId="52FD9C50">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403" w:name="_Toc23319_WPSOffice_Level3"/>
      <w:bookmarkStart w:id="404" w:name="_Toc19388_WPSOffice_Level3"/>
      <w:r>
        <w:rPr>
          <w:rFonts w:hint="eastAsia" w:ascii="仿宋_GB2312" w:hAnsi="仿宋_GB2312" w:eastAsia="仿宋_GB2312" w:cs="仿宋_GB2312"/>
          <w:b w:val="0"/>
          <w:bCs/>
          <w:color w:val="000000"/>
          <w:sz w:val="32"/>
          <w:szCs w:val="32"/>
        </w:rPr>
        <w:t>年   月  日</w:t>
      </w:r>
      <w:bookmarkEnd w:id="403"/>
      <w:bookmarkEnd w:id="404"/>
    </w:p>
    <w:p w14:paraId="294EE193">
      <w:pPr>
        <w:widowControl/>
        <w:wordWrap/>
        <w:adjustRightInd w:val="0"/>
        <w:snapToGrid w:val="0"/>
        <w:spacing w:before="157" w:beforeLines="50" w:line="560" w:lineRule="exact"/>
        <w:jc w:val="left"/>
        <w:rPr>
          <w:rFonts w:hint="eastAsia" w:ascii="宋体" w:hAnsi="宋体" w:cs="宋体"/>
          <w:spacing w:val="6"/>
          <w:kern w:val="0"/>
          <w:szCs w:val="21"/>
        </w:rPr>
      </w:pPr>
    </w:p>
    <w:p w14:paraId="36F05437">
      <w:pPr>
        <w:widowControl/>
        <w:wordWrap/>
        <w:adjustRightInd w:val="0"/>
        <w:snapToGrid w:val="0"/>
        <w:spacing w:before="157" w:beforeLines="50" w:line="560" w:lineRule="exact"/>
        <w:jc w:val="left"/>
        <w:rPr>
          <w:rFonts w:hint="eastAsia" w:ascii="宋体" w:hAnsi="宋体" w:cs="宋体"/>
          <w:spacing w:val="6"/>
          <w:kern w:val="0"/>
          <w:szCs w:val="21"/>
        </w:rPr>
      </w:pPr>
    </w:p>
    <w:p w14:paraId="61BA1E6E">
      <w:pPr>
        <w:widowControl/>
        <w:wordWrap/>
        <w:adjustRightInd w:val="0"/>
        <w:snapToGrid w:val="0"/>
        <w:spacing w:before="157" w:beforeLines="50" w:line="560" w:lineRule="exact"/>
        <w:jc w:val="left"/>
        <w:rPr>
          <w:rFonts w:hint="eastAsia" w:ascii="宋体" w:hAnsi="宋体" w:cs="宋体"/>
          <w:spacing w:val="6"/>
          <w:kern w:val="0"/>
          <w:szCs w:val="21"/>
        </w:rPr>
      </w:pPr>
    </w:p>
    <w:p w14:paraId="7244378A">
      <w:pPr>
        <w:pStyle w:val="3"/>
        <w:rPr>
          <w:rFonts w:hint="eastAsia"/>
        </w:rPr>
      </w:pPr>
    </w:p>
    <w:p w14:paraId="7D9D7765">
      <w:pPr>
        <w:pStyle w:val="12"/>
        <w:rPr>
          <w:rFonts w:hint="eastAsia"/>
        </w:rPr>
      </w:pPr>
    </w:p>
    <w:p w14:paraId="7C1BA3F1">
      <w:pPr>
        <w:rPr>
          <w:rFonts w:hint="eastAsia"/>
        </w:rPr>
      </w:pPr>
    </w:p>
    <w:p w14:paraId="20FE496B">
      <w:pPr>
        <w:rPr>
          <w:rFonts w:hint="eastAsia"/>
        </w:rPr>
      </w:pPr>
    </w:p>
    <w:p w14:paraId="0CB462D4">
      <w:pPr>
        <w:rPr>
          <w:rFonts w:hint="eastAsia"/>
        </w:rPr>
      </w:pPr>
    </w:p>
    <w:p w14:paraId="5E0BEE6E">
      <w:pPr>
        <w:widowControl/>
        <w:wordWrap/>
        <w:snapToGrid w:val="0"/>
        <w:spacing w:before="157" w:beforeLines="50" w:line="560" w:lineRule="exact"/>
        <w:outlineLvl w:val="9"/>
        <w:rPr>
          <w:rFonts w:hint="default" w:ascii="宋体"/>
          <w:b/>
          <w:color w:val="000000"/>
          <w:sz w:val="28"/>
          <w:szCs w:val="28"/>
          <w:lang w:val="en-US" w:eastAsia="zh-CN"/>
        </w:rPr>
      </w:pPr>
    </w:p>
    <w:p w14:paraId="72EA0687">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bookmarkStart w:id="405" w:name="_Toc21346"/>
      <w:bookmarkStart w:id="406" w:name="_Toc23033_WPSOffice_Level3"/>
      <w:bookmarkStart w:id="407" w:name="_Toc12068_WPSOffice_Level3"/>
      <w:bookmarkStart w:id="408" w:name="_Toc1076"/>
      <w:r>
        <w:rPr>
          <w:rFonts w:hint="eastAsia" w:ascii="楷体_GB2312" w:hAnsi="楷体_GB2312" w:eastAsia="楷体_GB2312" w:cs="楷体_GB2312"/>
          <w:b/>
          <w:bCs w:val="0"/>
          <w:color w:val="000000"/>
          <w:kern w:val="2"/>
          <w:sz w:val="32"/>
          <w:szCs w:val="32"/>
          <w:lang w:val="en-US" w:eastAsia="zh-CN" w:bidi="ar-SA"/>
        </w:rPr>
        <w:t>附件10：最后报价表</w:t>
      </w:r>
      <w:bookmarkEnd w:id="405"/>
      <w:bookmarkEnd w:id="406"/>
      <w:bookmarkEnd w:id="407"/>
      <w:bookmarkEnd w:id="408"/>
    </w:p>
    <w:p w14:paraId="70D57BB6">
      <w:pPr>
        <w:widowControl w:val="0"/>
        <w:wordWrap/>
        <w:autoSpaceDE w:val="0"/>
        <w:autoSpaceDN w:val="0"/>
        <w:adjustRightInd w:val="0"/>
        <w:snapToGrid/>
        <w:spacing w:line="560" w:lineRule="exact"/>
        <w:ind w:left="283" w:leftChars="135"/>
        <w:jc w:val="center"/>
        <w:outlineLvl w:val="2"/>
        <w:rPr>
          <w:rFonts w:hint="eastAsia" w:ascii="楷体_GB2312" w:hAnsi="楷体_GB2312" w:eastAsia="楷体_GB2312" w:cs="楷体_GB2312"/>
          <w:b/>
          <w:bCs w:val="0"/>
          <w:sz w:val="32"/>
          <w:szCs w:val="32"/>
          <w:lang w:val="zh-CN"/>
        </w:rPr>
      </w:pPr>
      <w:bookmarkStart w:id="409" w:name="_Toc17765"/>
      <w:r>
        <w:rPr>
          <w:rFonts w:hint="eastAsia" w:ascii="楷体_GB2312" w:hAnsi="楷体_GB2312" w:eastAsia="楷体_GB2312" w:cs="楷体_GB2312"/>
          <w:b/>
          <w:bCs w:val="0"/>
          <w:color w:val="000000"/>
          <w:kern w:val="2"/>
          <w:sz w:val="32"/>
          <w:szCs w:val="32"/>
          <w:lang w:val="en-US" w:eastAsia="zh-CN" w:bidi="ar-SA"/>
        </w:rPr>
        <w:t>最后报价表</w:t>
      </w:r>
      <w:bookmarkEnd w:id="409"/>
    </w:p>
    <w:p w14:paraId="12AC7482">
      <w:pPr>
        <w:widowControl w:val="0"/>
        <w:wordWrap/>
        <w:snapToGrid/>
        <w:spacing w:line="560" w:lineRule="exact"/>
        <w:ind w:left="283" w:leftChars="135"/>
        <w:outlineLvl w:val="9"/>
        <w:rPr>
          <w:rFonts w:hint="eastAsia" w:ascii="仿宋_GB2312" w:hAnsi="仿宋_GB2312" w:eastAsia="仿宋_GB2312" w:cs="仿宋_GB2312"/>
          <w:b/>
          <w:bCs w:val="0"/>
          <w:sz w:val="32"/>
          <w:szCs w:val="32"/>
        </w:rPr>
      </w:pPr>
      <w:bookmarkStart w:id="410" w:name="_Toc26632_WPSOffice_Level2"/>
      <w:bookmarkStart w:id="411" w:name="_Toc31451_WPSOffice_Level2"/>
      <w:r>
        <w:rPr>
          <w:rFonts w:hint="eastAsia" w:ascii="仿宋_GB2312" w:hAnsi="仿宋_GB2312" w:eastAsia="仿宋_GB2312" w:cs="仿宋_GB2312"/>
          <w:b/>
          <w:bCs w:val="0"/>
          <w:sz w:val="32"/>
          <w:szCs w:val="32"/>
        </w:rPr>
        <w:t>项目名称：</w:t>
      </w:r>
      <w:bookmarkEnd w:id="410"/>
      <w:bookmarkEnd w:id="411"/>
      <w:r>
        <w:rPr>
          <w:rFonts w:hint="eastAsia" w:ascii="仿宋_GB2312" w:hAnsi="仿宋_GB2312" w:eastAsia="仿宋_GB2312" w:cs="仿宋_GB2312"/>
          <w:b/>
          <w:bCs w:val="0"/>
          <w:sz w:val="32"/>
          <w:szCs w:val="32"/>
        </w:rPr>
        <w:t xml:space="preserve">                                           </w:t>
      </w:r>
    </w:p>
    <w:p w14:paraId="5502BD74">
      <w:pPr>
        <w:wordWrap/>
        <w:spacing w:before="157" w:beforeLines="50" w:line="560" w:lineRule="exact"/>
        <w:ind w:firstLine="321" w:firstLineChars="100"/>
        <w:outlineLvl w:val="9"/>
        <w:rPr>
          <w:rFonts w:hint="eastAsia" w:ascii="仿宋_GB2312" w:hAnsi="仿宋_GB2312" w:eastAsia="仿宋_GB2312" w:cs="仿宋_GB2312"/>
          <w:bCs/>
          <w:color w:val="000000"/>
          <w:sz w:val="32"/>
          <w:szCs w:val="32"/>
        </w:rPr>
      </w:pPr>
      <w:bookmarkStart w:id="412" w:name="_Toc18301_WPSOffice_Level2"/>
      <w:bookmarkStart w:id="413" w:name="_Toc16830_WPSOffice_Level2"/>
      <w:r>
        <w:rPr>
          <w:rFonts w:hint="eastAsia" w:ascii="仿宋_GB2312" w:hAnsi="仿宋_GB2312" w:eastAsia="仿宋_GB2312" w:cs="仿宋_GB2312"/>
          <w:b/>
          <w:bCs w:val="0"/>
          <w:sz w:val="32"/>
          <w:szCs w:val="32"/>
        </w:rPr>
        <w:t>项目编号：</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bCs/>
          <w:color w:val="000000"/>
          <w:sz w:val="32"/>
          <w:szCs w:val="32"/>
        </w:rPr>
        <w:t>人民币(元)</w:t>
      </w:r>
      <w:bookmarkEnd w:id="412"/>
      <w:bookmarkEnd w:id="413"/>
    </w:p>
    <w:p w14:paraId="03B57254">
      <w:pPr>
        <w:wordWrap/>
        <w:spacing w:before="157" w:beforeLines="50" w:line="560" w:lineRule="exact"/>
        <w:ind w:firstLine="321" w:firstLineChars="100"/>
        <w:outlineLvl w:val="9"/>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竞标人：</w:t>
      </w:r>
    </w:p>
    <w:p w14:paraId="73967DDD">
      <w:pPr>
        <w:wordWrap/>
        <w:spacing w:before="157" w:beforeLines="50" w:line="560" w:lineRule="exact"/>
        <w:ind w:firstLine="320" w:firstLineChars="100"/>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eastAsia="zh-CN"/>
        </w:rPr>
        <w:t>（本表在谈判结束后单独填写并提交，</w:t>
      </w:r>
      <w:r>
        <w:rPr>
          <w:rFonts w:hint="eastAsia" w:ascii="仿宋_GB2312" w:hAnsi="仿宋_GB2312" w:eastAsia="仿宋_GB2312" w:cs="仿宋_GB2312"/>
          <w:bCs/>
          <w:color w:val="000000"/>
          <w:sz w:val="32"/>
          <w:szCs w:val="32"/>
          <w:lang w:val="en-US" w:eastAsia="zh-CN"/>
        </w:rPr>
        <w:t>竞标人应提前自行打印并加盖公章，根据现场实际情况进行报价。</w:t>
      </w:r>
      <w:r>
        <w:rPr>
          <w:rFonts w:hint="eastAsia" w:ascii="仿宋_GB2312" w:hAnsi="仿宋_GB2312" w:eastAsia="仿宋_GB2312" w:cs="仿宋_GB2312"/>
          <w:bCs/>
          <w:color w:val="000000"/>
          <w:sz w:val="32"/>
          <w:szCs w:val="32"/>
          <w:lang w:eastAsia="zh-CN"/>
        </w:rPr>
        <w:t>）</w:t>
      </w:r>
    </w:p>
    <w:tbl>
      <w:tblPr>
        <w:tblStyle w:val="22"/>
        <w:tblpPr w:leftFromText="180" w:rightFromText="180" w:vertAnchor="text" w:horzAnchor="page" w:tblpX="1972" w:tblpY="1319"/>
        <w:tblOverlap w:val="never"/>
        <w:tblW w:w="8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905"/>
        <w:gridCol w:w="2445"/>
        <w:gridCol w:w="1499"/>
      </w:tblGrid>
      <w:tr w14:paraId="1861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92" w:type="dxa"/>
            <w:vAlign w:val="center"/>
          </w:tcPr>
          <w:p w14:paraId="6BB8B0BB">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编</w:t>
            </w:r>
            <w:r>
              <w:rPr>
                <w:rFonts w:hint="eastAsia" w:ascii="仿宋_GB2312" w:hAnsi="仿宋_GB2312" w:eastAsia="仿宋_GB2312" w:cs="仿宋_GB2312"/>
                <w:b/>
                <w:bCs w:val="0"/>
                <w:sz w:val="32"/>
                <w:szCs w:val="32"/>
              </w:rPr>
              <w:t>号</w:t>
            </w:r>
          </w:p>
        </w:tc>
        <w:tc>
          <w:tcPr>
            <w:tcW w:w="2905" w:type="dxa"/>
            <w:vAlign w:val="center"/>
          </w:tcPr>
          <w:p w14:paraId="2249C032">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最初报价</w:t>
            </w:r>
          </w:p>
        </w:tc>
        <w:tc>
          <w:tcPr>
            <w:tcW w:w="2445" w:type="dxa"/>
            <w:vAlign w:val="center"/>
          </w:tcPr>
          <w:p w14:paraId="5D985F5A">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最后报价</w:t>
            </w:r>
          </w:p>
        </w:tc>
        <w:tc>
          <w:tcPr>
            <w:tcW w:w="1499" w:type="dxa"/>
            <w:vAlign w:val="center"/>
          </w:tcPr>
          <w:p w14:paraId="63FF3589">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备注</w:t>
            </w:r>
          </w:p>
        </w:tc>
      </w:tr>
      <w:tr w14:paraId="010C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92" w:type="dxa"/>
            <w:vMerge w:val="restart"/>
            <w:tcBorders>
              <w:left w:val="single" w:color="auto" w:sz="4" w:space="0"/>
            </w:tcBorders>
            <w:vAlign w:val="center"/>
          </w:tcPr>
          <w:p w14:paraId="766BF55C">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c>
          <w:tcPr>
            <w:tcW w:w="2905" w:type="dxa"/>
            <w:vAlign w:val="top"/>
          </w:tcPr>
          <w:p w14:paraId="354CA05F">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2445" w:type="dxa"/>
            <w:vAlign w:val="top"/>
          </w:tcPr>
          <w:p w14:paraId="4400D83E">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1499" w:type="dxa"/>
            <w:vMerge w:val="restart"/>
            <w:vAlign w:val="center"/>
          </w:tcPr>
          <w:p w14:paraId="2417FC40">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14:paraId="5D0D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292" w:type="dxa"/>
            <w:vMerge w:val="continue"/>
            <w:tcBorders>
              <w:left w:val="single" w:color="auto" w:sz="4" w:space="0"/>
              <w:right w:val="nil"/>
            </w:tcBorders>
            <w:vAlign w:val="center"/>
          </w:tcPr>
          <w:p w14:paraId="4FEEAF0E">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c>
          <w:tcPr>
            <w:tcW w:w="2905" w:type="dxa"/>
            <w:vAlign w:val="top"/>
          </w:tcPr>
          <w:p w14:paraId="0EB5FBDD">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2445" w:type="dxa"/>
            <w:vAlign w:val="top"/>
          </w:tcPr>
          <w:p w14:paraId="1973D3C2">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1499" w:type="dxa"/>
            <w:vMerge w:val="continue"/>
            <w:vAlign w:val="center"/>
          </w:tcPr>
          <w:p w14:paraId="13F072B6">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14:paraId="47C6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141" w:type="dxa"/>
            <w:gridSpan w:val="4"/>
            <w:tcBorders>
              <w:bottom w:val="single" w:color="auto" w:sz="4" w:space="0"/>
            </w:tcBorders>
            <w:vAlign w:val="center"/>
          </w:tcPr>
          <w:p w14:paraId="4221C132">
            <w:pPr>
              <w:widowControl w:val="0"/>
              <w:wordWrap/>
              <w:snapToGrid/>
              <w:spacing w:line="560" w:lineRule="exact"/>
              <w:ind w:left="283" w:leftChars="135"/>
              <w:jc w:val="left"/>
              <w:outlineLvl w:val="9"/>
              <w:rPr>
                <w:rFonts w:hint="eastAsia" w:ascii="仿宋_GB2312" w:hAnsi="仿宋_GB2312" w:eastAsia="仿宋_GB2312" w:cs="仿宋_GB2312"/>
                <w:b/>
                <w:bCs w:val="0"/>
                <w:sz w:val="32"/>
                <w:szCs w:val="32"/>
                <w:lang w:eastAsia="zh-CN"/>
              </w:rPr>
            </w:pPr>
          </w:p>
        </w:tc>
      </w:tr>
    </w:tbl>
    <w:p w14:paraId="765130E0">
      <w:pPr>
        <w:widowControl w:val="0"/>
        <w:wordWrap/>
        <w:autoSpaceDE w:val="0"/>
        <w:autoSpaceDN w:val="0"/>
        <w:adjustRightInd w:val="0"/>
        <w:snapToGrid/>
        <w:spacing w:line="560" w:lineRule="exact"/>
        <w:jc w:val="both"/>
        <w:outlineLvl w:val="9"/>
        <w:rPr>
          <w:rFonts w:hint="eastAsia" w:ascii="仿宋_GB2312" w:hAnsi="仿宋_GB2312" w:eastAsia="仿宋_GB2312" w:cs="仿宋_GB2312"/>
          <w:b/>
          <w:color w:val="000000"/>
          <w:sz w:val="32"/>
          <w:szCs w:val="32"/>
        </w:rPr>
      </w:pPr>
    </w:p>
    <w:p w14:paraId="422F8237">
      <w:pPr>
        <w:widowControl w:val="0"/>
        <w:wordWrap/>
        <w:autoSpaceDE w:val="0"/>
        <w:autoSpaceDN w:val="0"/>
        <w:adjustRightInd w:val="0"/>
        <w:snapToGrid/>
        <w:spacing w:line="560" w:lineRule="exact"/>
        <w:jc w:val="both"/>
        <w:outlineLvl w:val="9"/>
        <w:rPr>
          <w:rFonts w:hint="eastAsia" w:ascii="仿宋_GB2312" w:hAnsi="仿宋_GB2312" w:eastAsia="仿宋_GB2312" w:cs="仿宋_GB2312"/>
          <w:b/>
          <w:color w:val="000000"/>
          <w:sz w:val="32"/>
          <w:szCs w:val="32"/>
        </w:rPr>
      </w:pPr>
    </w:p>
    <w:p w14:paraId="630CE13A">
      <w:pPr>
        <w:widowControl w:val="0"/>
        <w:wordWrap/>
        <w:autoSpaceDE w:val="0"/>
        <w:autoSpaceDN w:val="0"/>
        <w:adjustRightInd w:val="0"/>
        <w:snapToGrid/>
        <w:spacing w:line="560" w:lineRule="exact"/>
        <w:jc w:val="both"/>
        <w:outlineLvl w:val="9"/>
        <w:rPr>
          <w:rFonts w:hint="eastAsia" w:ascii="仿宋_GB2312" w:hAnsi="仿宋_GB2312" w:eastAsia="仿宋_GB2312" w:cs="仿宋_GB2312"/>
          <w:b/>
          <w:color w:val="000000"/>
          <w:sz w:val="32"/>
          <w:szCs w:val="32"/>
        </w:rPr>
      </w:pPr>
    </w:p>
    <w:p w14:paraId="43497936">
      <w:pPr>
        <w:widowControl w:val="0"/>
        <w:wordWrap/>
        <w:autoSpaceDE w:val="0"/>
        <w:autoSpaceDN w:val="0"/>
        <w:adjustRightInd w:val="0"/>
        <w:snapToGrid/>
        <w:spacing w:line="560" w:lineRule="exact"/>
        <w:jc w:val="both"/>
        <w:outlineLvl w:val="9"/>
        <w:rPr>
          <w:rFonts w:hint="eastAsia" w:ascii="仿宋_GB2312" w:hAnsi="仿宋_GB2312" w:eastAsia="仿宋_GB2312" w:cs="仿宋_GB2312"/>
          <w:b/>
          <w:color w:val="000000"/>
          <w:sz w:val="32"/>
          <w:szCs w:val="32"/>
        </w:rPr>
      </w:pPr>
    </w:p>
    <w:p w14:paraId="450A95E3">
      <w:pPr>
        <w:widowControl w:val="0"/>
        <w:wordWrap/>
        <w:autoSpaceDE w:val="0"/>
        <w:autoSpaceDN w:val="0"/>
        <w:adjustRightInd w:val="0"/>
        <w:snapToGrid/>
        <w:spacing w:line="560" w:lineRule="exact"/>
        <w:jc w:val="both"/>
        <w:outlineLvl w:val="9"/>
        <w:rPr>
          <w:rFonts w:hint="eastAsia" w:ascii="仿宋_GB2312" w:hAnsi="仿宋_GB2312" w:eastAsia="仿宋_GB2312" w:cs="仿宋_GB2312"/>
          <w:b/>
          <w:color w:val="000000"/>
          <w:sz w:val="32"/>
          <w:szCs w:val="32"/>
        </w:rPr>
      </w:pPr>
    </w:p>
    <w:sectPr>
      <w:footerReference r:id="rId3" w:type="default"/>
      <w:pgSz w:w="11906" w:h="16838"/>
      <w:pgMar w:top="1984" w:right="1474" w:bottom="1871"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8C872">
    <w:pPr>
      <w:pStyle w:val="1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986F7A">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sYvxd74BAACeAwAADgAAAAAAAAABACAAAAAeAQAAZHJzL2Uyb0RvYy54bWxQSwUGAAAA&#10;AAYABgBZAQAATgUAAAAA&#10;">
              <v:fill on="f" focussize="0,0"/>
              <v:stroke on="f"/>
              <v:imagedata o:title=""/>
              <o:lock v:ext="edit" aspectratio="f"/>
              <v:textbox inset="0mm,0mm,0mm,0mm" style="mso-fit-shape-to-text:t;">
                <w:txbxContent>
                  <w:p w14:paraId="65986F7A">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39DAF"/>
    <w:multiLevelType w:val="singleLevel"/>
    <w:tmpl w:val="DF739DAF"/>
    <w:lvl w:ilvl="0" w:tentative="0">
      <w:start w:val="8"/>
      <w:numFmt w:val="chineseCounting"/>
      <w:suff w:val="nothing"/>
      <w:lvlText w:val="%1、"/>
      <w:lvlJc w:val="left"/>
      <w:rPr>
        <w:rFonts w:hint="eastAsia"/>
      </w:rPr>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40063688"/>
    <w:multiLevelType w:val="singleLevel"/>
    <w:tmpl w:val="40063688"/>
    <w:lvl w:ilvl="0" w:tentative="0">
      <w:start w:val="1"/>
      <w:numFmt w:val="decimal"/>
      <w:lvlText w:val="%1."/>
      <w:lvlJc w:val="left"/>
      <w:pPr>
        <w:tabs>
          <w:tab w:val="left" w:pos="312"/>
        </w:tabs>
      </w:pPr>
    </w:lvl>
  </w:abstractNum>
  <w:abstractNum w:abstractNumId="3">
    <w:nsid w:val="5EC64F27"/>
    <w:multiLevelType w:val="singleLevel"/>
    <w:tmpl w:val="5EC64F27"/>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MTIzMzdiNGFlYjUyYzU0N2RiOWRiNmU2MjhmNGUifQ=="/>
  </w:docVars>
  <w:rsids>
    <w:rsidRoot w:val="7D9B5E16"/>
    <w:rsid w:val="02637B1D"/>
    <w:rsid w:val="02664A99"/>
    <w:rsid w:val="0268327F"/>
    <w:rsid w:val="02A9297E"/>
    <w:rsid w:val="03442F30"/>
    <w:rsid w:val="03A34D06"/>
    <w:rsid w:val="04474517"/>
    <w:rsid w:val="04DE17B1"/>
    <w:rsid w:val="05210BC9"/>
    <w:rsid w:val="055D0822"/>
    <w:rsid w:val="056913B5"/>
    <w:rsid w:val="05E12013"/>
    <w:rsid w:val="05FD3580"/>
    <w:rsid w:val="0624278B"/>
    <w:rsid w:val="06F2641E"/>
    <w:rsid w:val="07867AF5"/>
    <w:rsid w:val="078E0C06"/>
    <w:rsid w:val="082839F0"/>
    <w:rsid w:val="0891104C"/>
    <w:rsid w:val="0A536242"/>
    <w:rsid w:val="0A801DDE"/>
    <w:rsid w:val="0AED28F4"/>
    <w:rsid w:val="0B2B4C7E"/>
    <w:rsid w:val="0BB54002"/>
    <w:rsid w:val="0C045C6A"/>
    <w:rsid w:val="0C661388"/>
    <w:rsid w:val="0CA87A52"/>
    <w:rsid w:val="0CE83FAB"/>
    <w:rsid w:val="0D256ADD"/>
    <w:rsid w:val="0D616E1A"/>
    <w:rsid w:val="0D711167"/>
    <w:rsid w:val="0DC739FA"/>
    <w:rsid w:val="0E783BEB"/>
    <w:rsid w:val="0E874D29"/>
    <w:rsid w:val="0E930373"/>
    <w:rsid w:val="0EBB4554"/>
    <w:rsid w:val="0F20174D"/>
    <w:rsid w:val="109055EB"/>
    <w:rsid w:val="10DE48CA"/>
    <w:rsid w:val="11FB2BE7"/>
    <w:rsid w:val="12400F8A"/>
    <w:rsid w:val="1289645E"/>
    <w:rsid w:val="13D2255B"/>
    <w:rsid w:val="14526E5B"/>
    <w:rsid w:val="14541A21"/>
    <w:rsid w:val="147E4FE0"/>
    <w:rsid w:val="1532490E"/>
    <w:rsid w:val="157B0DA2"/>
    <w:rsid w:val="15CB1E0B"/>
    <w:rsid w:val="15E94352"/>
    <w:rsid w:val="160A7634"/>
    <w:rsid w:val="16932406"/>
    <w:rsid w:val="17B514B3"/>
    <w:rsid w:val="1802614F"/>
    <w:rsid w:val="181531AE"/>
    <w:rsid w:val="185A675A"/>
    <w:rsid w:val="189B1AA5"/>
    <w:rsid w:val="18C211CC"/>
    <w:rsid w:val="18CD779D"/>
    <w:rsid w:val="18D43F64"/>
    <w:rsid w:val="19227628"/>
    <w:rsid w:val="19864975"/>
    <w:rsid w:val="19E10B40"/>
    <w:rsid w:val="1A977682"/>
    <w:rsid w:val="1ACC3E1B"/>
    <w:rsid w:val="1AD11780"/>
    <w:rsid w:val="1B662DBF"/>
    <w:rsid w:val="1C2F5B31"/>
    <w:rsid w:val="1C880C67"/>
    <w:rsid w:val="1D7542D0"/>
    <w:rsid w:val="1D9A4A78"/>
    <w:rsid w:val="1E2F4669"/>
    <w:rsid w:val="1E662D79"/>
    <w:rsid w:val="1EED3CFC"/>
    <w:rsid w:val="1EF65831"/>
    <w:rsid w:val="1F1D4355"/>
    <w:rsid w:val="20525060"/>
    <w:rsid w:val="207F0C88"/>
    <w:rsid w:val="21C422F5"/>
    <w:rsid w:val="2272669E"/>
    <w:rsid w:val="227F4D71"/>
    <w:rsid w:val="2280389A"/>
    <w:rsid w:val="247C2A7C"/>
    <w:rsid w:val="24FD76C4"/>
    <w:rsid w:val="25A60401"/>
    <w:rsid w:val="26806F3F"/>
    <w:rsid w:val="26B0198D"/>
    <w:rsid w:val="278F5CF9"/>
    <w:rsid w:val="27BA16F8"/>
    <w:rsid w:val="286E2FD5"/>
    <w:rsid w:val="28773DCD"/>
    <w:rsid w:val="28ED597C"/>
    <w:rsid w:val="29907531"/>
    <w:rsid w:val="2ADE5E46"/>
    <w:rsid w:val="2B78699C"/>
    <w:rsid w:val="2BD61589"/>
    <w:rsid w:val="2C2E5CBB"/>
    <w:rsid w:val="2C6B2DB9"/>
    <w:rsid w:val="2CC30608"/>
    <w:rsid w:val="2D1B6C42"/>
    <w:rsid w:val="2DF301D1"/>
    <w:rsid w:val="2F173B14"/>
    <w:rsid w:val="2F750352"/>
    <w:rsid w:val="2F7A1819"/>
    <w:rsid w:val="2F7B1CC0"/>
    <w:rsid w:val="2FD74D0A"/>
    <w:rsid w:val="30B46ED7"/>
    <w:rsid w:val="30D84A6D"/>
    <w:rsid w:val="31166F66"/>
    <w:rsid w:val="31302FC9"/>
    <w:rsid w:val="31CD6FAF"/>
    <w:rsid w:val="34184F37"/>
    <w:rsid w:val="342873FA"/>
    <w:rsid w:val="348875DC"/>
    <w:rsid w:val="35061DD1"/>
    <w:rsid w:val="35260655"/>
    <w:rsid w:val="356B65D3"/>
    <w:rsid w:val="35B35962"/>
    <w:rsid w:val="35F42D38"/>
    <w:rsid w:val="381009F4"/>
    <w:rsid w:val="38177AC2"/>
    <w:rsid w:val="38330237"/>
    <w:rsid w:val="386942DF"/>
    <w:rsid w:val="387734FB"/>
    <w:rsid w:val="39E61C93"/>
    <w:rsid w:val="3AD61226"/>
    <w:rsid w:val="3AF96301"/>
    <w:rsid w:val="3BC6328F"/>
    <w:rsid w:val="3C0E6A8C"/>
    <w:rsid w:val="3CC67821"/>
    <w:rsid w:val="3CDA061D"/>
    <w:rsid w:val="3CE919D4"/>
    <w:rsid w:val="3D3D7976"/>
    <w:rsid w:val="3D4C7081"/>
    <w:rsid w:val="3D9F3525"/>
    <w:rsid w:val="3DCC1178"/>
    <w:rsid w:val="3E004C98"/>
    <w:rsid w:val="3E3B0987"/>
    <w:rsid w:val="3E6F1C2A"/>
    <w:rsid w:val="3F000963"/>
    <w:rsid w:val="3FCC1BB2"/>
    <w:rsid w:val="3FFA1B0C"/>
    <w:rsid w:val="40B97554"/>
    <w:rsid w:val="42281201"/>
    <w:rsid w:val="43803F8D"/>
    <w:rsid w:val="44107D9B"/>
    <w:rsid w:val="44644852"/>
    <w:rsid w:val="45EE208A"/>
    <w:rsid w:val="460515BC"/>
    <w:rsid w:val="47176167"/>
    <w:rsid w:val="474E664D"/>
    <w:rsid w:val="47C462E6"/>
    <w:rsid w:val="47CF0B1D"/>
    <w:rsid w:val="47E23378"/>
    <w:rsid w:val="48911B59"/>
    <w:rsid w:val="4AD87F7A"/>
    <w:rsid w:val="4B9F2679"/>
    <w:rsid w:val="4BD62BD3"/>
    <w:rsid w:val="4C8D39F2"/>
    <w:rsid w:val="4CB10ACF"/>
    <w:rsid w:val="4CC01E86"/>
    <w:rsid w:val="4D2B7562"/>
    <w:rsid w:val="4DDB03B5"/>
    <w:rsid w:val="4DED4A76"/>
    <w:rsid w:val="4ED72EBD"/>
    <w:rsid w:val="4EDD7EB3"/>
    <w:rsid w:val="4EE202E0"/>
    <w:rsid w:val="4F5C1D7A"/>
    <w:rsid w:val="51271052"/>
    <w:rsid w:val="5176769E"/>
    <w:rsid w:val="519017FF"/>
    <w:rsid w:val="51B22AB2"/>
    <w:rsid w:val="51FE73D1"/>
    <w:rsid w:val="524967F1"/>
    <w:rsid w:val="53233274"/>
    <w:rsid w:val="53534733"/>
    <w:rsid w:val="535B4140"/>
    <w:rsid w:val="53B41740"/>
    <w:rsid w:val="53E9079A"/>
    <w:rsid w:val="54AB36A4"/>
    <w:rsid w:val="54AF78B0"/>
    <w:rsid w:val="5571016F"/>
    <w:rsid w:val="557F61CB"/>
    <w:rsid w:val="55B04C26"/>
    <w:rsid w:val="55F51E57"/>
    <w:rsid w:val="563E4FE8"/>
    <w:rsid w:val="565E5A65"/>
    <w:rsid w:val="57F23B91"/>
    <w:rsid w:val="57F27B11"/>
    <w:rsid w:val="587D00AE"/>
    <w:rsid w:val="58A10A6F"/>
    <w:rsid w:val="59361F1D"/>
    <w:rsid w:val="59D40607"/>
    <w:rsid w:val="59FF7D32"/>
    <w:rsid w:val="5AA26202"/>
    <w:rsid w:val="5AEF00AC"/>
    <w:rsid w:val="5BFA2163"/>
    <w:rsid w:val="5C331E32"/>
    <w:rsid w:val="5CC84CFD"/>
    <w:rsid w:val="5D4A3A21"/>
    <w:rsid w:val="5D6408DE"/>
    <w:rsid w:val="5E814705"/>
    <w:rsid w:val="5EB924A6"/>
    <w:rsid w:val="5F8038FF"/>
    <w:rsid w:val="60AE2DC5"/>
    <w:rsid w:val="60F25329"/>
    <w:rsid w:val="63C651CA"/>
    <w:rsid w:val="6433395A"/>
    <w:rsid w:val="661E127D"/>
    <w:rsid w:val="6628294C"/>
    <w:rsid w:val="6658601C"/>
    <w:rsid w:val="666E6D57"/>
    <w:rsid w:val="668C6B1C"/>
    <w:rsid w:val="67466E44"/>
    <w:rsid w:val="69981EF7"/>
    <w:rsid w:val="6AC11213"/>
    <w:rsid w:val="6BB6488D"/>
    <w:rsid w:val="6BC0391C"/>
    <w:rsid w:val="6BF42F63"/>
    <w:rsid w:val="6CB51DAA"/>
    <w:rsid w:val="6D0A2E73"/>
    <w:rsid w:val="6D2F4F96"/>
    <w:rsid w:val="6D484EC2"/>
    <w:rsid w:val="6E672B2B"/>
    <w:rsid w:val="6F2C10F2"/>
    <w:rsid w:val="6F443BEB"/>
    <w:rsid w:val="6F7922B4"/>
    <w:rsid w:val="6FB824BF"/>
    <w:rsid w:val="70223553"/>
    <w:rsid w:val="70654B6A"/>
    <w:rsid w:val="70FE6A7B"/>
    <w:rsid w:val="71E64DF1"/>
    <w:rsid w:val="7202096F"/>
    <w:rsid w:val="72F0558E"/>
    <w:rsid w:val="73972F2B"/>
    <w:rsid w:val="750520C0"/>
    <w:rsid w:val="75053FA4"/>
    <w:rsid w:val="757F7E3A"/>
    <w:rsid w:val="75BE3D92"/>
    <w:rsid w:val="76044F64"/>
    <w:rsid w:val="76275612"/>
    <w:rsid w:val="76473B85"/>
    <w:rsid w:val="76FE6E62"/>
    <w:rsid w:val="771A041B"/>
    <w:rsid w:val="77864563"/>
    <w:rsid w:val="77D55A66"/>
    <w:rsid w:val="785724B6"/>
    <w:rsid w:val="789F6743"/>
    <w:rsid w:val="79465555"/>
    <w:rsid w:val="7A6276EA"/>
    <w:rsid w:val="7C355CCF"/>
    <w:rsid w:val="7CE5560B"/>
    <w:rsid w:val="7D9B5E16"/>
    <w:rsid w:val="7E143686"/>
    <w:rsid w:val="7E5A55AC"/>
    <w:rsid w:val="7E7F7D0E"/>
    <w:rsid w:val="7EA247C6"/>
    <w:rsid w:val="7EE73E3D"/>
    <w:rsid w:val="7F2A1A1C"/>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43"/>
    <w:autoRedefine/>
    <w:qFormat/>
    <w:uiPriority w:val="0"/>
    <w:pPr>
      <w:keepNext/>
      <w:jc w:val="center"/>
      <w:outlineLvl w:val="0"/>
    </w:pPr>
    <w:rPr>
      <w:b/>
      <w:bCs/>
      <w:sz w:val="24"/>
      <w:szCs w:val="20"/>
    </w:rPr>
  </w:style>
  <w:style w:type="paragraph" w:styleId="8">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9">
    <w:name w:val="heading 3"/>
    <w:basedOn w:val="1"/>
    <w:next w:val="1"/>
    <w:link w:val="44"/>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4"/>
    <w:autoRedefine/>
    <w:qFormat/>
    <w:uiPriority w:val="0"/>
    <w:pPr>
      <w:spacing w:after="120"/>
    </w:pPr>
  </w:style>
  <w:style w:type="paragraph" w:customStyle="1" w:styleId="4">
    <w:name w:val="一级条标题"/>
    <w:basedOn w:val="5"/>
    <w:next w:val="6"/>
    <w:autoRedefine/>
    <w:qFormat/>
    <w:uiPriority w:val="0"/>
    <w:pPr>
      <w:spacing w:line="240" w:lineRule="auto"/>
      <w:ind w:left="420"/>
      <w:outlineLvl w:val="2"/>
    </w:pPr>
  </w:style>
  <w:style w:type="paragraph" w:customStyle="1" w:styleId="5">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annotation text"/>
    <w:basedOn w:val="1"/>
    <w:autoRedefine/>
    <w:qFormat/>
    <w:uiPriority w:val="0"/>
    <w:pPr>
      <w:jc w:val="left"/>
    </w:pPr>
  </w:style>
  <w:style w:type="paragraph" w:styleId="12">
    <w:name w:val="Body Text Indent"/>
    <w:basedOn w:val="1"/>
    <w:next w:val="1"/>
    <w:autoRedefine/>
    <w:qFormat/>
    <w:uiPriority w:val="0"/>
    <w:pPr>
      <w:spacing w:line="360" w:lineRule="auto"/>
      <w:ind w:firstLine="480" w:firstLineChars="200"/>
    </w:pPr>
    <w:rPr>
      <w:rFonts w:ascii="宋体"/>
      <w:sz w:val="24"/>
    </w:r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ascii="宋体" w:hAnsi="Courier New" w:cs="Courier New"/>
      <w:szCs w:val="21"/>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20">
    <w:name w:val="Title"/>
    <w:basedOn w:val="1"/>
    <w:next w:val="1"/>
    <w:autoRedefine/>
    <w:qFormat/>
    <w:uiPriority w:val="0"/>
    <w:pPr>
      <w:spacing w:before="240" w:after="60"/>
      <w:jc w:val="center"/>
      <w:outlineLvl w:val="0"/>
    </w:pPr>
    <w:rPr>
      <w:rFonts w:ascii="Cambria" w:hAnsi="Cambria"/>
      <w:b/>
      <w:bCs/>
      <w:sz w:val="36"/>
      <w:szCs w:val="32"/>
    </w:rPr>
  </w:style>
  <w:style w:type="paragraph" w:styleId="21">
    <w:name w:val="Body Text First Indent 2"/>
    <w:basedOn w:val="3"/>
    <w:autoRedefine/>
    <w:qFormat/>
    <w:uiPriority w:val="0"/>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FollowedHyperlink"/>
    <w:basedOn w:val="24"/>
    <w:autoRedefine/>
    <w:qFormat/>
    <w:uiPriority w:val="0"/>
    <w:rPr>
      <w:rFonts w:hint="eastAsia" w:ascii="微软雅黑" w:hAnsi="微软雅黑" w:eastAsia="微软雅黑" w:cs="微软雅黑"/>
      <w:color w:val="02396F"/>
      <w:u w:val="single"/>
    </w:rPr>
  </w:style>
  <w:style w:type="character" w:styleId="28">
    <w:name w:val="Hyperlink"/>
    <w:basedOn w:val="24"/>
    <w:autoRedefine/>
    <w:qFormat/>
    <w:uiPriority w:val="0"/>
    <w:rPr>
      <w:rFonts w:ascii="微软雅黑" w:hAnsi="微软雅黑" w:eastAsia="微软雅黑" w:cs="微软雅黑"/>
      <w:color w:val="02396F"/>
      <w:u w:val="single"/>
    </w:rPr>
  </w:style>
  <w:style w:type="paragraph" w:customStyle="1" w:styleId="29">
    <w:name w:val="列出段落1"/>
    <w:basedOn w:val="1"/>
    <w:autoRedefine/>
    <w:qFormat/>
    <w:uiPriority w:val="0"/>
    <w:pPr>
      <w:ind w:firstLine="420" w:firstLineChars="200"/>
    </w:pPr>
    <w:rPr>
      <w:rFonts w:ascii="Calibri" w:hAnsi="Calibri"/>
      <w:szCs w:val="22"/>
    </w:rPr>
  </w:style>
  <w:style w:type="paragraph" w:customStyle="1" w:styleId="30">
    <w:name w:val="trs_edito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WPSOffice手动目录 1"/>
    <w:autoRedefine/>
    <w:qFormat/>
    <w:uiPriority w:val="0"/>
    <w:pPr>
      <w:ind w:leftChars="0"/>
    </w:pPr>
    <w:rPr>
      <w:rFonts w:ascii="Times New Roman" w:hAnsi="Times New Roman" w:eastAsia="宋体" w:cs="Times New Roman"/>
      <w:sz w:val="20"/>
      <w:szCs w:val="20"/>
      <w:lang w:val="en-US" w:eastAsia="zh-CN" w:bidi="ar-SA"/>
    </w:rPr>
  </w:style>
  <w:style w:type="paragraph" w:customStyle="1" w:styleId="32">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3">
    <w:name w:val="p0"/>
    <w:basedOn w:val="1"/>
    <w:autoRedefine/>
    <w:qFormat/>
    <w:uiPriority w:val="0"/>
    <w:pPr>
      <w:widowControl/>
    </w:pPr>
    <w:rPr>
      <w:kern w:val="0"/>
      <w:szCs w:val="21"/>
    </w:rPr>
  </w:style>
  <w:style w:type="paragraph" w:customStyle="1" w:styleId="34">
    <w:name w:val="文章正文"/>
    <w:basedOn w:val="1"/>
    <w:autoRedefine/>
    <w:qFormat/>
    <w:uiPriority w:val="0"/>
    <w:pPr>
      <w:adjustRightInd w:val="0"/>
      <w:snapToGrid w:val="0"/>
      <w:spacing w:beforeLines="100" w:line="360" w:lineRule="auto"/>
      <w:ind w:firstLine="200" w:firstLineChars="200"/>
    </w:pPr>
    <w:rPr>
      <w:sz w:val="24"/>
      <w:szCs w:val="22"/>
    </w:rPr>
  </w:style>
  <w:style w:type="paragraph" w:customStyle="1" w:styleId="35">
    <w:name w:val="WPSOffice手动目录 2"/>
    <w:autoRedefine/>
    <w:qFormat/>
    <w:uiPriority w:val="0"/>
    <w:pPr>
      <w:ind w:leftChars="200"/>
    </w:pPr>
    <w:rPr>
      <w:rFonts w:ascii="Times New Roman" w:hAnsi="Times New Roman" w:eastAsia="宋体" w:cs="Times New Roman"/>
      <w:sz w:val="20"/>
      <w:szCs w:val="20"/>
      <w:lang w:val="en-US" w:eastAsia="zh-CN" w:bidi="ar-SA"/>
    </w:rPr>
  </w:style>
  <w:style w:type="paragraph" w:customStyle="1" w:styleId="36">
    <w:name w:val="WPSOffice手动目录 3"/>
    <w:autoRedefine/>
    <w:qFormat/>
    <w:uiPriority w:val="0"/>
    <w:pPr>
      <w:ind w:leftChars="400"/>
    </w:pPr>
    <w:rPr>
      <w:rFonts w:ascii="Times New Roman" w:hAnsi="Times New Roman" w:eastAsia="宋体" w:cs="Times New Roman"/>
      <w:sz w:val="20"/>
      <w:szCs w:val="20"/>
      <w:lang w:val="en-US" w:eastAsia="zh-CN" w:bidi="ar-SA"/>
    </w:rPr>
  </w:style>
  <w:style w:type="character" w:customStyle="1" w:styleId="37">
    <w:name w:val="gjfg"/>
    <w:basedOn w:val="24"/>
    <w:autoRedefine/>
    <w:qFormat/>
    <w:uiPriority w:val="0"/>
  </w:style>
  <w:style w:type="character" w:customStyle="1" w:styleId="38">
    <w:name w:val="displayarti"/>
    <w:basedOn w:val="24"/>
    <w:autoRedefine/>
    <w:qFormat/>
    <w:uiPriority w:val="0"/>
    <w:rPr>
      <w:color w:val="FFFFFF"/>
      <w:shd w:val="clear" w:color="010000" w:fill="A00000"/>
    </w:rPr>
  </w:style>
  <w:style w:type="character" w:customStyle="1" w:styleId="39">
    <w:name w:val="redfilefwwh"/>
    <w:basedOn w:val="24"/>
    <w:autoRedefine/>
    <w:qFormat/>
    <w:uiPriority w:val="0"/>
    <w:rPr>
      <w:color w:val="BA2636"/>
      <w:sz w:val="14"/>
      <w:szCs w:val="14"/>
    </w:rPr>
  </w:style>
  <w:style w:type="character" w:customStyle="1" w:styleId="40">
    <w:name w:val="redfilenumber"/>
    <w:basedOn w:val="24"/>
    <w:autoRedefine/>
    <w:qFormat/>
    <w:uiPriority w:val="0"/>
    <w:rPr>
      <w:color w:val="BA2636"/>
      <w:sz w:val="14"/>
      <w:szCs w:val="14"/>
    </w:rPr>
  </w:style>
  <w:style w:type="character" w:customStyle="1" w:styleId="41">
    <w:name w:val="qxdate"/>
    <w:basedOn w:val="24"/>
    <w:autoRedefine/>
    <w:qFormat/>
    <w:uiPriority w:val="0"/>
    <w:rPr>
      <w:color w:val="333333"/>
      <w:sz w:val="14"/>
      <w:szCs w:val="14"/>
    </w:rPr>
  </w:style>
  <w:style w:type="character" w:customStyle="1" w:styleId="42">
    <w:name w:val="cfdate"/>
    <w:basedOn w:val="24"/>
    <w:autoRedefine/>
    <w:qFormat/>
    <w:uiPriority w:val="0"/>
    <w:rPr>
      <w:color w:val="333333"/>
      <w:sz w:val="14"/>
      <w:szCs w:val="14"/>
    </w:rPr>
  </w:style>
  <w:style w:type="character" w:customStyle="1" w:styleId="43">
    <w:name w:val="标题 1 Char"/>
    <w:link w:val="7"/>
    <w:autoRedefine/>
    <w:qFormat/>
    <w:uiPriority w:val="0"/>
    <w:rPr>
      <w:b/>
      <w:bCs/>
      <w:sz w:val="24"/>
      <w:szCs w:val="20"/>
    </w:rPr>
  </w:style>
  <w:style w:type="character" w:customStyle="1" w:styleId="44">
    <w:name w:val="标题 3 Char"/>
    <w:link w:val="9"/>
    <w:autoRedefine/>
    <w:qFormat/>
    <w:uiPriority w:val="0"/>
    <w:rPr>
      <w:b/>
      <w:bCs/>
      <w:sz w:val="32"/>
      <w:szCs w:val="32"/>
    </w:rPr>
  </w:style>
  <w:style w:type="paragraph" w:customStyle="1" w:styleId="45">
    <w:name w:val="Normal_2"/>
    <w:autoRedefine/>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13511</Words>
  <Characters>14155</Characters>
  <Lines>0</Lines>
  <Paragraphs>0</Paragraphs>
  <TotalTime>2</TotalTime>
  <ScaleCrop>false</ScaleCrop>
  <LinksUpToDate>false</LinksUpToDate>
  <CharactersWithSpaces>15517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James</cp:lastModifiedBy>
  <cp:lastPrinted>2020-12-30T07:36:00Z</cp:lastPrinted>
  <dcterms:modified xsi:type="dcterms:W3CDTF">2024-10-15T01:11:31Z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17FAA55C3F2548A0AB99C15EFD3C5B97</vt:lpwstr>
  </property>
</Properties>
</file>